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B175" w14:textId="77777777" w:rsidR="00784641" w:rsidRPr="00B64527" w:rsidRDefault="00784641" w:rsidP="00784641">
      <w:pPr>
        <w:jc w:val="center"/>
        <w:rPr>
          <w:rFonts w:ascii="Calibri" w:hAnsi="Calibri"/>
          <w:color w:val="000000"/>
          <w:szCs w:val="18"/>
          <w:highlight w:val="yellow"/>
        </w:rPr>
      </w:pPr>
    </w:p>
    <w:p w14:paraId="0CA8ACA6" w14:textId="10B4E617" w:rsidR="00784641" w:rsidRPr="00764613" w:rsidRDefault="00490B6E" w:rsidP="00784641">
      <w:pPr>
        <w:keepNext/>
        <w:tabs>
          <w:tab w:val="left" w:pos="8295"/>
        </w:tabs>
        <w:outlineLvl w:val="0"/>
        <w:rPr>
          <w:rFonts w:ascii="Calibri" w:hAnsi="Calibri"/>
          <w:b/>
          <w:color w:val="000000"/>
          <w:szCs w:val="18"/>
        </w:rPr>
      </w:pPr>
      <w:r w:rsidRPr="00490B6E">
        <w:rPr>
          <w:rFonts w:ascii="Calibri" w:hAnsi="Calibri"/>
          <w:b/>
          <w:color w:val="000000"/>
          <w:szCs w:val="18"/>
        </w:rPr>
        <w:t>1</w:t>
      </w:r>
      <w:r w:rsidR="004C0C8A">
        <w:rPr>
          <w:rFonts w:ascii="Calibri" w:hAnsi="Calibri"/>
          <w:b/>
          <w:color w:val="000000"/>
          <w:szCs w:val="18"/>
        </w:rPr>
        <w:t>9</w:t>
      </w:r>
      <w:r w:rsidRPr="00490B6E">
        <w:rPr>
          <w:rFonts w:ascii="Calibri" w:hAnsi="Calibri"/>
          <w:b/>
          <w:color w:val="000000"/>
          <w:szCs w:val="18"/>
        </w:rPr>
        <w:t xml:space="preserve"> September 2016</w:t>
      </w:r>
      <w:r w:rsidRPr="00490B6E">
        <w:rPr>
          <w:rFonts w:ascii="Calibri" w:hAnsi="Calibri"/>
          <w:b/>
          <w:color w:val="000000"/>
          <w:szCs w:val="18"/>
        </w:rPr>
        <w:tab/>
      </w:r>
    </w:p>
    <w:p w14:paraId="3DF4194C" w14:textId="2C422A08" w:rsidR="00784641" w:rsidRPr="00764613" w:rsidRDefault="00490B6E" w:rsidP="00F032FF">
      <w:pPr>
        <w:keepNext/>
        <w:tabs>
          <w:tab w:val="center" w:pos="4734"/>
          <w:tab w:val="left" w:pos="7892"/>
          <w:tab w:val="right" w:pos="9468"/>
        </w:tabs>
        <w:jc w:val="center"/>
        <w:outlineLvl w:val="0"/>
        <w:rPr>
          <w:rFonts w:ascii="Calibri" w:hAnsi="Calibri"/>
          <w:b/>
          <w:color w:val="000000"/>
          <w:sz w:val="52"/>
        </w:rPr>
      </w:pPr>
      <w:r>
        <w:rPr>
          <w:rFonts w:ascii="Calibri" w:hAnsi="Calibri"/>
          <w:b/>
          <w:color w:val="000000"/>
          <w:sz w:val="52"/>
        </w:rPr>
        <w:t>7digital Group plc</w:t>
      </w:r>
    </w:p>
    <w:p w14:paraId="587B4CE7" w14:textId="77777777" w:rsidR="00784641" w:rsidRPr="00764613" w:rsidRDefault="00490B6E" w:rsidP="00F032FF">
      <w:pPr>
        <w:keepNext/>
        <w:jc w:val="center"/>
        <w:outlineLvl w:val="0"/>
        <w:rPr>
          <w:rFonts w:ascii="Calibri" w:hAnsi="Calibri"/>
          <w:b/>
          <w:color w:val="000000"/>
          <w:sz w:val="32"/>
          <w:szCs w:val="32"/>
        </w:rPr>
      </w:pPr>
      <w:r>
        <w:rPr>
          <w:rFonts w:ascii="Calibri" w:hAnsi="Calibri"/>
          <w:b/>
          <w:color w:val="000000"/>
          <w:sz w:val="32"/>
          <w:szCs w:val="32"/>
        </w:rPr>
        <w:t>(“7digital”, “the Group” or “the Company”)</w:t>
      </w:r>
    </w:p>
    <w:p w14:paraId="0D422106" w14:textId="77777777" w:rsidR="001A44E7" w:rsidRPr="00764613" w:rsidRDefault="001A44E7" w:rsidP="001A44E7">
      <w:pPr>
        <w:keepNext/>
        <w:jc w:val="center"/>
        <w:outlineLvl w:val="0"/>
        <w:rPr>
          <w:rFonts w:ascii="Calibri" w:hAnsi="Calibri"/>
          <w:b/>
          <w:color w:val="000000"/>
          <w:sz w:val="24"/>
          <w:szCs w:val="24"/>
        </w:rPr>
      </w:pPr>
    </w:p>
    <w:p w14:paraId="3CF99442" w14:textId="325453E6" w:rsidR="001A44E7" w:rsidRPr="00764613" w:rsidRDefault="00D6092A" w:rsidP="001A44E7">
      <w:pPr>
        <w:keepNext/>
        <w:jc w:val="center"/>
        <w:outlineLvl w:val="0"/>
        <w:rPr>
          <w:rFonts w:ascii="Calibri" w:hAnsi="Calibri"/>
          <w:b/>
          <w:color w:val="000000"/>
          <w:sz w:val="24"/>
          <w:szCs w:val="24"/>
        </w:rPr>
      </w:pPr>
      <w:r>
        <w:rPr>
          <w:rFonts w:ascii="Calibri" w:hAnsi="Calibri"/>
          <w:b/>
          <w:color w:val="000000"/>
          <w:sz w:val="24"/>
          <w:szCs w:val="24"/>
        </w:rPr>
        <w:t>Half y</w:t>
      </w:r>
      <w:r w:rsidR="00490B6E">
        <w:rPr>
          <w:rFonts w:ascii="Calibri" w:hAnsi="Calibri"/>
          <w:b/>
          <w:color w:val="000000"/>
          <w:sz w:val="24"/>
          <w:szCs w:val="24"/>
        </w:rPr>
        <w:t>ear results for the period ended 30 June 2016</w:t>
      </w:r>
    </w:p>
    <w:p w14:paraId="4DB980D7" w14:textId="77777777" w:rsidR="001A44E7" w:rsidRPr="00764613" w:rsidRDefault="001A44E7" w:rsidP="001A44E7">
      <w:pPr>
        <w:pStyle w:val="BodyText"/>
        <w:ind w:right="1240"/>
        <w:jc w:val="center"/>
        <w:rPr>
          <w:rFonts w:ascii="Calibri" w:hAnsi="Calibri" w:cs="Tahoma"/>
          <w:color w:val="000000"/>
          <w:sz w:val="24"/>
          <w:szCs w:val="24"/>
        </w:rPr>
      </w:pPr>
    </w:p>
    <w:p w14:paraId="6090A247" w14:textId="77777777" w:rsidR="00784641" w:rsidRPr="00764613" w:rsidRDefault="00490B6E" w:rsidP="0076467C">
      <w:pPr>
        <w:jc w:val="both"/>
        <w:rPr>
          <w:rFonts w:ascii="Calibri" w:hAnsi="Calibri"/>
          <w:color w:val="000000"/>
        </w:rPr>
      </w:pPr>
      <w:r>
        <w:rPr>
          <w:rFonts w:ascii="Calibri" w:hAnsi="Calibri"/>
          <w:color w:val="000000"/>
        </w:rPr>
        <w:t>7digital Group plc (AIM: 7DIG), the digital music and radio services company, today announces its results for the half year ended 30 June 2016.</w:t>
      </w:r>
    </w:p>
    <w:p w14:paraId="27AE6665" w14:textId="77777777" w:rsidR="004C0C8A" w:rsidRPr="00337B48" w:rsidRDefault="004C0C8A" w:rsidP="00337B48">
      <w:pPr>
        <w:jc w:val="both"/>
        <w:rPr>
          <w:rFonts w:ascii="Calibri" w:hAnsi="Calibri"/>
          <w:b/>
          <w:color w:val="000000"/>
        </w:rPr>
      </w:pPr>
      <w:r w:rsidRPr="00337B48">
        <w:rPr>
          <w:rFonts w:ascii="Calibri" w:hAnsi="Calibri"/>
          <w:b/>
          <w:color w:val="000000"/>
        </w:rPr>
        <w:t>Highlights</w:t>
      </w:r>
    </w:p>
    <w:p w14:paraId="689AFA0B" w14:textId="5857B1F8" w:rsidR="004C0C8A" w:rsidRPr="009F7857" w:rsidRDefault="00F0045A" w:rsidP="009F7857">
      <w:pPr>
        <w:pStyle w:val="ListParagraph"/>
        <w:numPr>
          <w:ilvl w:val="0"/>
          <w:numId w:val="12"/>
        </w:numPr>
        <w:jc w:val="both"/>
        <w:rPr>
          <w:rFonts w:ascii="Calibri" w:hAnsi="Calibri"/>
          <w:color w:val="000000"/>
        </w:rPr>
      </w:pPr>
      <w:r>
        <w:rPr>
          <w:rFonts w:ascii="Calibri" w:hAnsi="Calibri"/>
          <w:color w:val="000000"/>
        </w:rPr>
        <w:t>Improving sales momentum</w:t>
      </w:r>
      <w:r w:rsidR="00804DB0">
        <w:rPr>
          <w:rFonts w:ascii="Calibri" w:hAnsi="Calibri"/>
          <w:color w:val="000000"/>
        </w:rPr>
        <w:t>: Q2 materially stronger than Q1</w:t>
      </w:r>
    </w:p>
    <w:p w14:paraId="1C777188" w14:textId="37536C5B" w:rsidR="00645519" w:rsidRPr="009F7857" w:rsidRDefault="00645519" w:rsidP="009F7857">
      <w:pPr>
        <w:pStyle w:val="ListParagraph"/>
        <w:numPr>
          <w:ilvl w:val="0"/>
          <w:numId w:val="13"/>
        </w:numPr>
        <w:jc w:val="both"/>
        <w:rPr>
          <w:rFonts w:ascii="Calibri" w:hAnsi="Calibri"/>
          <w:color w:val="000000"/>
        </w:rPr>
      </w:pPr>
      <w:r w:rsidRPr="009F7857">
        <w:rPr>
          <w:rFonts w:ascii="Calibri" w:hAnsi="Calibri"/>
          <w:color w:val="000000"/>
        </w:rPr>
        <w:t>annualised</w:t>
      </w:r>
      <w:r w:rsidRPr="00645519">
        <w:t xml:space="preserve"> </w:t>
      </w:r>
      <w:r w:rsidRPr="009F7857">
        <w:rPr>
          <w:rFonts w:ascii="Calibri" w:hAnsi="Calibri"/>
          <w:color w:val="000000"/>
        </w:rPr>
        <w:t xml:space="preserve">exit monthly </w:t>
      </w:r>
      <w:r w:rsidR="00804DB0">
        <w:rPr>
          <w:rFonts w:ascii="Calibri" w:hAnsi="Calibri"/>
          <w:color w:val="000000"/>
        </w:rPr>
        <w:t>recurring</w:t>
      </w:r>
      <w:r w:rsidRPr="009F7857">
        <w:rPr>
          <w:rFonts w:ascii="Calibri" w:hAnsi="Calibri"/>
          <w:color w:val="000000"/>
        </w:rPr>
        <w:t xml:space="preserve"> revenue (“MRR”) for the period increased by 10%</w:t>
      </w:r>
    </w:p>
    <w:p w14:paraId="2D4B39B6" w14:textId="77777777" w:rsidR="00645519" w:rsidRDefault="00645519" w:rsidP="009F7857">
      <w:pPr>
        <w:pStyle w:val="ListParagraph"/>
        <w:numPr>
          <w:ilvl w:val="0"/>
          <w:numId w:val="13"/>
        </w:numPr>
        <w:jc w:val="both"/>
        <w:rPr>
          <w:rFonts w:ascii="Calibri" w:hAnsi="Calibri"/>
          <w:color w:val="000000"/>
        </w:rPr>
      </w:pPr>
      <w:r w:rsidRPr="009F7857">
        <w:rPr>
          <w:rFonts w:ascii="Calibri" w:hAnsi="Calibri"/>
          <w:color w:val="000000"/>
        </w:rPr>
        <w:t>high-margin licensing revenues in June rose by 17% compared with 2015</w:t>
      </w:r>
    </w:p>
    <w:p w14:paraId="39F1C3A6" w14:textId="77777777" w:rsidR="00EB1BB4" w:rsidRPr="009F7857" w:rsidRDefault="00EB1BB4" w:rsidP="009F7857">
      <w:pPr>
        <w:pStyle w:val="ListParagraph"/>
        <w:jc w:val="both"/>
        <w:rPr>
          <w:rFonts w:ascii="Calibri" w:hAnsi="Calibri"/>
          <w:color w:val="000000"/>
        </w:rPr>
      </w:pPr>
    </w:p>
    <w:p w14:paraId="0AEB8A8E" w14:textId="1670C32A" w:rsidR="00EB1BB4" w:rsidRDefault="003B5270" w:rsidP="009F7857">
      <w:pPr>
        <w:pStyle w:val="ListParagraph"/>
        <w:numPr>
          <w:ilvl w:val="0"/>
          <w:numId w:val="12"/>
        </w:numPr>
        <w:jc w:val="both"/>
        <w:rPr>
          <w:rFonts w:ascii="Calibri" w:hAnsi="Calibri"/>
          <w:color w:val="000000"/>
        </w:rPr>
      </w:pPr>
      <w:r>
        <w:rPr>
          <w:rFonts w:ascii="Calibri" w:hAnsi="Calibri"/>
          <w:color w:val="000000"/>
        </w:rPr>
        <w:t>S</w:t>
      </w:r>
      <w:r w:rsidR="003E0C0A" w:rsidRPr="009F7857">
        <w:rPr>
          <w:rFonts w:ascii="Calibri" w:hAnsi="Calibri"/>
          <w:color w:val="000000"/>
        </w:rPr>
        <w:t>hift of client base continue</w:t>
      </w:r>
      <w:r w:rsidR="00C04CD3">
        <w:rPr>
          <w:rFonts w:ascii="Calibri" w:hAnsi="Calibri"/>
          <w:color w:val="000000"/>
        </w:rPr>
        <w:t>s</w:t>
      </w:r>
      <w:r w:rsidR="003E0C0A" w:rsidRPr="009F7857">
        <w:rPr>
          <w:rFonts w:ascii="Calibri" w:hAnsi="Calibri"/>
          <w:color w:val="000000"/>
        </w:rPr>
        <w:t xml:space="preserve"> to major, tier one corporates, increasing the scale of our customers and improv</w:t>
      </w:r>
      <w:r w:rsidR="00B14A27">
        <w:rPr>
          <w:rFonts w:ascii="Calibri" w:hAnsi="Calibri"/>
          <w:color w:val="000000"/>
        </w:rPr>
        <w:t>ing</w:t>
      </w:r>
      <w:r w:rsidR="003E0C0A" w:rsidRPr="009F7857">
        <w:rPr>
          <w:rFonts w:ascii="Calibri" w:hAnsi="Calibri"/>
          <w:color w:val="000000"/>
        </w:rPr>
        <w:t xml:space="preserve"> the quality of our business</w:t>
      </w:r>
    </w:p>
    <w:p w14:paraId="5AB71E29" w14:textId="77777777" w:rsidR="00862D6F" w:rsidRDefault="00862D6F" w:rsidP="00FA221F">
      <w:pPr>
        <w:pStyle w:val="ListParagraph"/>
        <w:jc w:val="both"/>
        <w:rPr>
          <w:rFonts w:ascii="Calibri" w:hAnsi="Calibri"/>
          <w:color w:val="000000"/>
        </w:rPr>
      </w:pPr>
    </w:p>
    <w:p w14:paraId="4841048F" w14:textId="77777777" w:rsidR="006E7CF2" w:rsidRDefault="00862D6F" w:rsidP="009F7857">
      <w:pPr>
        <w:pStyle w:val="ListParagraph"/>
        <w:numPr>
          <w:ilvl w:val="0"/>
          <w:numId w:val="12"/>
        </w:numPr>
        <w:jc w:val="both"/>
        <w:rPr>
          <w:rFonts w:ascii="Calibri" w:hAnsi="Calibri"/>
          <w:color w:val="000000"/>
        </w:rPr>
      </w:pPr>
      <w:r>
        <w:rPr>
          <w:rFonts w:ascii="Calibri" w:hAnsi="Calibri"/>
          <w:color w:val="000000"/>
        </w:rPr>
        <w:t xml:space="preserve">Contracts signed during the first half with a cumulative lifetime deal value of £4.7m, compared to £4.2m for the whole of 2015 </w:t>
      </w:r>
    </w:p>
    <w:p w14:paraId="46D52746" w14:textId="77777777" w:rsidR="006E7CF2" w:rsidRPr="00FA221F" w:rsidRDefault="006E7CF2" w:rsidP="00FA221F">
      <w:pPr>
        <w:pStyle w:val="ListParagraph"/>
        <w:rPr>
          <w:rFonts w:ascii="Calibri" w:hAnsi="Calibri"/>
          <w:color w:val="000000"/>
        </w:rPr>
      </w:pPr>
    </w:p>
    <w:p w14:paraId="02567083" w14:textId="3CC81D07" w:rsidR="00862D6F" w:rsidRDefault="009C20F1" w:rsidP="006E7CF2">
      <w:pPr>
        <w:pStyle w:val="ListParagraph"/>
        <w:numPr>
          <w:ilvl w:val="0"/>
          <w:numId w:val="12"/>
        </w:numPr>
        <w:jc w:val="both"/>
        <w:rPr>
          <w:rFonts w:ascii="Calibri" w:hAnsi="Calibri"/>
          <w:color w:val="000000"/>
        </w:rPr>
      </w:pPr>
      <w:r>
        <w:rPr>
          <w:rFonts w:ascii="Calibri" w:hAnsi="Calibri"/>
          <w:color w:val="000000"/>
        </w:rPr>
        <w:t xml:space="preserve">Major new customer launches this period including Musical.ly in </w:t>
      </w:r>
      <w:r w:rsidR="003B5270">
        <w:rPr>
          <w:rFonts w:ascii="Calibri" w:hAnsi="Calibri"/>
          <w:color w:val="000000"/>
        </w:rPr>
        <w:t>30</w:t>
      </w:r>
      <w:r>
        <w:rPr>
          <w:rFonts w:ascii="Calibri" w:hAnsi="Calibri"/>
          <w:color w:val="000000"/>
        </w:rPr>
        <w:t xml:space="preserve"> territories.  </w:t>
      </w:r>
      <w:r w:rsidR="00A07C7A">
        <w:rPr>
          <w:rFonts w:ascii="Calibri" w:hAnsi="Calibri"/>
          <w:color w:val="000000"/>
        </w:rPr>
        <w:t>600</w:t>
      </w:r>
      <w:r w:rsidR="006E7CF2" w:rsidRPr="006E7CF2">
        <w:rPr>
          <w:rFonts w:ascii="Calibri" w:hAnsi="Calibri"/>
          <w:color w:val="000000"/>
        </w:rPr>
        <w:t xml:space="preserve">m </w:t>
      </w:r>
      <w:r w:rsidR="006E7CF2">
        <w:rPr>
          <w:rFonts w:ascii="Calibri" w:hAnsi="Calibri"/>
          <w:color w:val="000000"/>
        </w:rPr>
        <w:t xml:space="preserve">music </w:t>
      </w:r>
      <w:r w:rsidR="006E7CF2" w:rsidRPr="006E7CF2">
        <w:rPr>
          <w:rFonts w:ascii="Calibri" w:hAnsi="Calibri"/>
          <w:color w:val="000000"/>
        </w:rPr>
        <w:t xml:space="preserve">streams </w:t>
      </w:r>
      <w:r w:rsidR="006E7CF2">
        <w:rPr>
          <w:rFonts w:ascii="Calibri" w:hAnsi="Calibri"/>
          <w:color w:val="000000"/>
        </w:rPr>
        <w:t xml:space="preserve">delivered </w:t>
      </w:r>
      <w:r w:rsidR="006E7CF2" w:rsidRPr="006E7CF2">
        <w:rPr>
          <w:rFonts w:ascii="Calibri" w:hAnsi="Calibri"/>
          <w:color w:val="000000"/>
        </w:rPr>
        <w:t xml:space="preserve">to </w:t>
      </w:r>
      <w:r w:rsidR="002E079F">
        <w:rPr>
          <w:rFonts w:ascii="Calibri" w:hAnsi="Calibri"/>
          <w:color w:val="000000"/>
        </w:rPr>
        <w:t xml:space="preserve">more than </w:t>
      </w:r>
      <w:r w:rsidR="00A07C7A">
        <w:rPr>
          <w:rFonts w:ascii="Calibri" w:hAnsi="Calibri"/>
          <w:color w:val="000000"/>
        </w:rPr>
        <w:t>15</w:t>
      </w:r>
      <w:r w:rsidR="006E7CF2" w:rsidRPr="006E7CF2">
        <w:rPr>
          <w:rFonts w:ascii="Calibri" w:hAnsi="Calibri"/>
          <w:color w:val="000000"/>
        </w:rPr>
        <w:t>m people</w:t>
      </w:r>
      <w:r w:rsidR="006E7CF2">
        <w:rPr>
          <w:rFonts w:ascii="Calibri" w:hAnsi="Calibri"/>
          <w:color w:val="000000"/>
        </w:rPr>
        <w:t xml:space="preserve"> </w:t>
      </w:r>
      <w:r w:rsidR="00A07C7A">
        <w:rPr>
          <w:rFonts w:ascii="Calibri" w:hAnsi="Calibri"/>
          <w:color w:val="000000"/>
        </w:rPr>
        <w:t>to date in 2016</w:t>
      </w:r>
      <w:r w:rsidR="006E7CF2">
        <w:rPr>
          <w:rFonts w:ascii="Calibri" w:hAnsi="Calibri"/>
          <w:color w:val="000000"/>
        </w:rPr>
        <w:t>, compared to</w:t>
      </w:r>
      <w:r w:rsidR="006E7CF2" w:rsidRPr="006E7CF2">
        <w:t xml:space="preserve"> </w:t>
      </w:r>
      <w:r w:rsidR="006E7CF2" w:rsidRPr="006E7CF2">
        <w:rPr>
          <w:rFonts w:ascii="Calibri" w:hAnsi="Calibri"/>
          <w:color w:val="000000"/>
        </w:rPr>
        <w:t xml:space="preserve">72.6m streams to </w:t>
      </w:r>
      <w:r w:rsidR="00531B91">
        <w:rPr>
          <w:rFonts w:ascii="Calibri" w:hAnsi="Calibri"/>
          <w:color w:val="000000"/>
        </w:rPr>
        <w:t>approximately</w:t>
      </w:r>
      <w:r w:rsidR="002E079F">
        <w:rPr>
          <w:rFonts w:ascii="Calibri" w:hAnsi="Calibri"/>
          <w:color w:val="000000"/>
        </w:rPr>
        <w:t xml:space="preserve"> </w:t>
      </w:r>
      <w:r w:rsidR="006E7CF2" w:rsidRPr="006E7CF2">
        <w:rPr>
          <w:rFonts w:ascii="Calibri" w:hAnsi="Calibri"/>
          <w:color w:val="000000"/>
        </w:rPr>
        <w:t>3m</w:t>
      </w:r>
      <w:r w:rsidR="006E7CF2">
        <w:rPr>
          <w:rFonts w:ascii="Calibri" w:hAnsi="Calibri"/>
          <w:color w:val="000000"/>
        </w:rPr>
        <w:t xml:space="preserve"> people for the whole of 2015 </w:t>
      </w:r>
      <w:r w:rsidR="006E7CF2" w:rsidRPr="006E7CF2">
        <w:rPr>
          <w:rFonts w:ascii="Calibri" w:hAnsi="Calibri"/>
          <w:color w:val="000000"/>
        </w:rPr>
        <w:t xml:space="preserve"> </w:t>
      </w:r>
      <w:r w:rsidR="006E7CF2">
        <w:rPr>
          <w:rFonts w:ascii="Calibri" w:hAnsi="Calibri"/>
          <w:color w:val="000000"/>
        </w:rPr>
        <w:t xml:space="preserve"> </w:t>
      </w:r>
    </w:p>
    <w:p w14:paraId="092F157F" w14:textId="77777777" w:rsidR="001947B8" w:rsidRPr="009F7857" w:rsidRDefault="001947B8" w:rsidP="009F7857">
      <w:pPr>
        <w:pStyle w:val="ListParagraph"/>
        <w:jc w:val="both"/>
        <w:rPr>
          <w:rFonts w:ascii="Calibri" w:hAnsi="Calibri"/>
          <w:color w:val="000000"/>
        </w:rPr>
      </w:pPr>
    </w:p>
    <w:p w14:paraId="6FD59F33" w14:textId="61DD1E62" w:rsidR="00A54A7D" w:rsidRDefault="00645519" w:rsidP="00FA221F">
      <w:pPr>
        <w:pStyle w:val="ListParagraph"/>
        <w:numPr>
          <w:ilvl w:val="0"/>
          <w:numId w:val="12"/>
        </w:numPr>
        <w:spacing w:after="0"/>
        <w:jc w:val="both"/>
        <w:rPr>
          <w:rFonts w:ascii="Calibri" w:hAnsi="Calibri"/>
          <w:color w:val="000000"/>
        </w:rPr>
      </w:pPr>
      <w:r w:rsidRPr="00A54A7D">
        <w:rPr>
          <w:rFonts w:ascii="Calibri" w:hAnsi="Calibri"/>
          <w:color w:val="000000"/>
        </w:rPr>
        <w:t>Acqu</w:t>
      </w:r>
      <w:r w:rsidR="003A1B37" w:rsidRPr="00A54A7D">
        <w:rPr>
          <w:rFonts w:ascii="Calibri" w:hAnsi="Calibri"/>
          <w:color w:val="000000"/>
        </w:rPr>
        <w:t>i</w:t>
      </w:r>
      <w:r w:rsidRPr="00A54A7D">
        <w:rPr>
          <w:rFonts w:ascii="Calibri" w:hAnsi="Calibri"/>
          <w:color w:val="000000"/>
        </w:rPr>
        <w:t xml:space="preserve">sition of Snowite, </w:t>
      </w:r>
      <w:r w:rsidR="003A1B37" w:rsidRPr="00A54A7D">
        <w:rPr>
          <w:rFonts w:ascii="Calibri" w:hAnsi="Calibri"/>
          <w:color w:val="000000"/>
        </w:rPr>
        <w:t xml:space="preserve">the leading French digital streaming music provider </w:t>
      </w:r>
      <w:r w:rsidRPr="00A54A7D">
        <w:rPr>
          <w:rFonts w:ascii="Calibri" w:hAnsi="Calibri"/>
          <w:color w:val="000000"/>
        </w:rPr>
        <w:t>completed in</w:t>
      </w:r>
      <w:r w:rsidR="003A1B37" w:rsidRPr="00A54A7D">
        <w:rPr>
          <w:rFonts w:ascii="Calibri" w:hAnsi="Calibri"/>
          <w:color w:val="000000"/>
        </w:rPr>
        <w:t xml:space="preserve"> </w:t>
      </w:r>
      <w:r w:rsidR="00A54A7D" w:rsidRPr="00A54A7D">
        <w:rPr>
          <w:rFonts w:ascii="Calibri" w:hAnsi="Calibri"/>
          <w:color w:val="000000"/>
        </w:rPr>
        <w:t>this period.</w:t>
      </w:r>
      <w:r w:rsidR="003A1B37" w:rsidRPr="00A54A7D">
        <w:rPr>
          <w:rFonts w:ascii="Calibri" w:hAnsi="Calibri"/>
          <w:color w:val="000000"/>
        </w:rPr>
        <w:t xml:space="preserve"> </w:t>
      </w:r>
      <w:r w:rsidR="00A54A7D">
        <w:rPr>
          <w:rFonts w:ascii="Calibri" w:hAnsi="Calibri"/>
          <w:color w:val="000000"/>
        </w:rPr>
        <w:t xml:space="preserve">  Integration of technology platform is on track with greater than anticipated overhead savings.  Major new French client launch of </w:t>
      </w:r>
      <w:proofErr w:type="spellStart"/>
      <w:r w:rsidR="00A54A7D">
        <w:rPr>
          <w:rFonts w:ascii="Calibri" w:hAnsi="Calibri"/>
          <w:color w:val="000000"/>
        </w:rPr>
        <w:t>Cdiscount</w:t>
      </w:r>
      <w:proofErr w:type="spellEnd"/>
      <w:r w:rsidR="00A54A7D">
        <w:rPr>
          <w:rFonts w:ascii="Calibri" w:hAnsi="Calibri"/>
          <w:color w:val="000000"/>
        </w:rPr>
        <w:t xml:space="preserve"> streamed music service</w:t>
      </w:r>
      <w:r w:rsidR="00481223">
        <w:rPr>
          <w:rFonts w:ascii="Calibri" w:hAnsi="Calibri"/>
          <w:color w:val="000000"/>
        </w:rPr>
        <w:t xml:space="preserve"> next week</w:t>
      </w:r>
      <w:r w:rsidR="00A54A7D">
        <w:rPr>
          <w:rFonts w:ascii="Calibri" w:hAnsi="Calibri"/>
          <w:color w:val="000000"/>
        </w:rPr>
        <w:t>.</w:t>
      </w:r>
    </w:p>
    <w:p w14:paraId="2673D5D3" w14:textId="77777777" w:rsidR="00A54A7D" w:rsidRPr="00FA221F" w:rsidRDefault="00A54A7D" w:rsidP="00FA221F">
      <w:pPr>
        <w:spacing w:after="0"/>
        <w:jc w:val="both"/>
        <w:rPr>
          <w:rFonts w:ascii="Calibri" w:hAnsi="Calibri"/>
          <w:color w:val="000000"/>
        </w:rPr>
      </w:pPr>
    </w:p>
    <w:p w14:paraId="37D93744" w14:textId="7D06602B" w:rsidR="003E0C0A" w:rsidRDefault="003A1B37" w:rsidP="009F7857">
      <w:pPr>
        <w:pStyle w:val="ListParagraph"/>
        <w:numPr>
          <w:ilvl w:val="0"/>
          <w:numId w:val="12"/>
        </w:numPr>
        <w:jc w:val="both"/>
        <w:rPr>
          <w:rFonts w:ascii="Calibri" w:hAnsi="Calibri"/>
          <w:color w:val="000000"/>
        </w:rPr>
      </w:pPr>
      <w:r w:rsidRPr="009F7857">
        <w:rPr>
          <w:rFonts w:ascii="Calibri" w:hAnsi="Calibri"/>
          <w:color w:val="000000"/>
        </w:rPr>
        <w:t>Management team materially strengthened by new Chief Financial Officer</w:t>
      </w:r>
      <w:r w:rsidR="003E0C0A" w:rsidRPr="009F7857">
        <w:rPr>
          <w:rFonts w:ascii="Calibri" w:hAnsi="Calibri"/>
          <w:color w:val="000000"/>
        </w:rPr>
        <w:t>, Chief Technology Officer</w:t>
      </w:r>
      <w:r w:rsidRPr="009F7857">
        <w:rPr>
          <w:rFonts w:ascii="Calibri" w:hAnsi="Calibri"/>
          <w:color w:val="000000"/>
        </w:rPr>
        <w:t xml:space="preserve"> and Chief Commercial Officer</w:t>
      </w:r>
      <w:r w:rsidR="00531B91">
        <w:rPr>
          <w:rFonts w:ascii="Calibri" w:hAnsi="Calibri"/>
          <w:color w:val="000000"/>
        </w:rPr>
        <w:t>;</w:t>
      </w:r>
      <w:r w:rsidR="00E163B5">
        <w:rPr>
          <w:rFonts w:ascii="Calibri" w:hAnsi="Calibri"/>
          <w:color w:val="000000"/>
        </w:rPr>
        <w:t xml:space="preserve">  benefits already being realised</w:t>
      </w:r>
      <w:r w:rsidRPr="009F7857">
        <w:rPr>
          <w:rFonts w:ascii="Calibri" w:hAnsi="Calibri"/>
          <w:color w:val="000000"/>
        </w:rPr>
        <w:t xml:space="preserve"> </w:t>
      </w:r>
      <w:r w:rsidR="00645519" w:rsidRPr="009F7857">
        <w:rPr>
          <w:rFonts w:ascii="Calibri" w:hAnsi="Calibri"/>
          <w:color w:val="000000"/>
        </w:rPr>
        <w:t xml:space="preserve"> </w:t>
      </w:r>
    </w:p>
    <w:p w14:paraId="232A0F36" w14:textId="77777777" w:rsidR="00EB1BB4" w:rsidRPr="009F7857" w:rsidRDefault="00EB1BB4" w:rsidP="009F7857">
      <w:pPr>
        <w:pStyle w:val="ListParagraph"/>
        <w:rPr>
          <w:rFonts w:ascii="Calibri" w:hAnsi="Calibri"/>
          <w:color w:val="000000"/>
        </w:rPr>
      </w:pPr>
    </w:p>
    <w:p w14:paraId="1F96467D" w14:textId="7AE38877" w:rsidR="0052179E" w:rsidRDefault="003E0C0A" w:rsidP="009F7857">
      <w:pPr>
        <w:pStyle w:val="ListParagraph"/>
        <w:numPr>
          <w:ilvl w:val="0"/>
          <w:numId w:val="12"/>
        </w:numPr>
        <w:jc w:val="both"/>
        <w:rPr>
          <w:rFonts w:ascii="Calibri" w:hAnsi="Calibri"/>
          <w:color w:val="000000"/>
        </w:rPr>
      </w:pPr>
      <w:r w:rsidRPr="009F7857">
        <w:rPr>
          <w:rFonts w:ascii="Calibri" w:hAnsi="Calibri"/>
          <w:color w:val="000000"/>
        </w:rPr>
        <w:t>Strong focus o</w:t>
      </w:r>
      <w:r w:rsidR="00206D39">
        <w:rPr>
          <w:rFonts w:ascii="Calibri" w:hAnsi="Calibri"/>
          <w:color w:val="000000"/>
        </w:rPr>
        <w:t>n</w:t>
      </w:r>
      <w:r w:rsidRPr="009F7857">
        <w:rPr>
          <w:rFonts w:ascii="Calibri" w:hAnsi="Calibri"/>
          <w:color w:val="000000"/>
        </w:rPr>
        <w:t xml:space="preserve"> cost base</w:t>
      </w:r>
      <w:r w:rsidR="00072C9D">
        <w:rPr>
          <w:rFonts w:ascii="Calibri" w:hAnsi="Calibri"/>
          <w:color w:val="000000"/>
        </w:rPr>
        <w:t>,</w:t>
      </w:r>
      <w:r w:rsidRPr="009F7857">
        <w:rPr>
          <w:rFonts w:ascii="Calibri" w:hAnsi="Calibri"/>
          <w:color w:val="000000"/>
        </w:rPr>
        <w:t xml:space="preserve"> </w:t>
      </w:r>
      <w:r w:rsidR="007A11E9" w:rsidRPr="007761A7">
        <w:rPr>
          <w:rFonts w:ascii="Calibri" w:hAnsi="Calibri"/>
          <w:color w:val="000000"/>
        </w:rPr>
        <w:t xml:space="preserve">with </w:t>
      </w:r>
      <w:r w:rsidR="00C04CD3">
        <w:rPr>
          <w:rFonts w:ascii="Calibri" w:hAnsi="Calibri"/>
          <w:color w:val="000000"/>
        </w:rPr>
        <w:t xml:space="preserve">approximately </w:t>
      </w:r>
      <w:r w:rsidR="007A11E9" w:rsidRPr="007761A7">
        <w:rPr>
          <w:rFonts w:ascii="Calibri" w:hAnsi="Calibri"/>
          <w:color w:val="000000"/>
        </w:rPr>
        <w:t xml:space="preserve">£1m of </w:t>
      </w:r>
      <w:r w:rsidR="004C49DD">
        <w:rPr>
          <w:rFonts w:ascii="Calibri" w:hAnsi="Calibri"/>
          <w:color w:val="000000"/>
        </w:rPr>
        <w:t xml:space="preserve">annualised </w:t>
      </w:r>
      <w:r w:rsidR="007A11E9" w:rsidRPr="007761A7">
        <w:rPr>
          <w:rFonts w:ascii="Calibri" w:hAnsi="Calibri"/>
          <w:color w:val="000000"/>
        </w:rPr>
        <w:t xml:space="preserve">savings anticipated </w:t>
      </w:r>
      <w:r w:rsidR="004C49DD">
        <w:rPr>
          <w:rFonts w:ascii="Calibri" w:hAnsi="Calibri"/>
          <w:color w:val="000000"/>
        </w:rPr>
        <w:t xml:space="preserve">by the year end </w:t>
      </w:r>
      <w:r w:rsidR="007A11E9" w:rsidRPr="007761A7">
        <w:rPr>
          <w:rFonts w:ascii="Calibri" w:hAnsi="Calibri"/>
          <w:color w:val="000000"/>
        </w:rPr>
        <w:t>(including £0.5</w:t>
      </w:r>
      <w:r w:rsidR="00114977">
        <w:rPr>
          <w:rFonts w:ascii="Calibri" w:hAnsi="Calibri"/>
          <w:color w:val="000000"/>
        </w:rPr>
        <w:t>m</w:t>
      </w:r>
      <w:r w:rsidR="007A11E9" w:rsidRPr="007761A7">
        <w:rPr>
          <w:rFonts w:ascii="Calibri" w:hAnsi="Calibri"/>
          <w:color w:val="000000"/>
        </w:rPr>
        <w:t xml:space="preserve">  overhead synergies from the Snowite acquisition)</w:t>
      </w:r>
      <w:r w:rsidR="00C12EF5">
        <w:rPr>
          <w:rFonts w:ascii="Calibri" w:hAnsi="Calibri"/>
          <w:color w:val="000000"/>
        </w:rPr>
        <w:t>;</w:t>
      </w:r>
      <w:r w:rsidR="007A11E9" w:rsidRPr="007761A7">
        <w:rPr>
          <w:rFonts w:ascii="Calibri" w:hAnsi="Calibri"/>
          <w:color w:val="000000"/>
        </w:rPr>
        <w:t xml:space="preserve"> </w:t>
      </w:r>
      <w:r w:rsidR="00C12EF5">
        <w:rPr>
          <w:rFonts w:ascii="Calibri" w:hAnsi="Calibri"/>
          <w:color w:val="000000"/>
        </w:rPr>
        <w:t xml:space="preserve"> </w:t>
      </w:r>
      <w:r w:rsidR="004C49DD">
        <w:rPr>
          <w:rFonts w:ascii="Calibri" w:hAnsi="Calibri"/>
          <w:color w:val="000000"/>
        </w:rPr>
        <w:t xml:space="preserve">of this amount </w:t>
      </w:r>
      <w:r w:rsidR="004C6747">
        <w:rPr>
          <w:rFonts w:ascii="Calibri" w:hAnsi="Calibri"/>
          <w:color w:val="000000"/>
        </w:rPr>
        <w:t xml:space="preserve">a </w:t>
      </w:r>
      <w:r w:rsidR="007A11E9" w:rsidRPr="007761A7">
        <w:rPr>
          <w:rFonts w:ascii="Calibri" w:hAnsi="Calibri"/>
          <w:color w:val="000000"/>
        </w:rPr>
        <w:t>£0.3m</w:t>
      </w:r>
      <w:r w:rsidR="00C12EF5">
        <w:rPr>
          <w:rFonts w:ascii="Calibri" w:hAnsi="Calibri"/>
          <w:color w:val="000000"/>
        </w:rPr>
        <w:t xml:space="preserve"> saving</w:t>
      </w:r>
      <w:r w:rsidR="007A11E9" w:rsidRPr="007761A7">
        <w:rPr>
          <w:rFonts w:ascii="Calibri" w:hAnsi="Calibri"/>
          <w:color w:val="000000"/>
        </w:rPr>
        <w:t xml:space="preserve"> </w:t>
      </w:r>
      <w:r w:rsidR="00C12EF5">
        <w:rPr>
          <w:rFonts w:ascii="Calibri" w:hAnsi="Calibri"/>
          <w:color w:val="000000"/>
        </w:rPr>
        <w:t>will benefit</w:t>
      </w:r>
      <w:r w:rsidR="007A11E9" w:rsidRPr="007761A7">
        <w:rPr>
          <w:rFonts w:ascii="Calibri" w:hAnsi="Calibri"/>
          <w:color w:val="000000"/>
        </w:rPr>
        <w:t xml:space="preserve"> the second half of 2016</w:t>
      </w:r>
    </w:p>
    <w:p w14:paraId="631AE1E7" w14:textId="77777777" w:rsidR="0052179E" w:rsidRPr="009F7857" w:rsidRDefault="0052179E" w:rsidP="009F7857">
      <w:pPr>
        <w:pStyle w:val="ListParagraph"/>
        <w:rPr>
          <w:rFonts w:ascii="Calibri" w:hAnsi="Calibri"/>
          <w:color w:val="000000"/>
        </w:rPr>
      </w:pPr>
    </w:p>
    <w:p w14:paraId="007865A7" w14:textId="05F72888" w:rsidR="00FA221F" w:rsidRDefault="0052179E" w:rsidP="00FA221F">
      <w:pPr>
        <w:pStyle w:val="ListParagraph"/>
        <w:numPr>
          <w:ilvl w:val="0"/>
          <w:numId w:val="12"/>
        </w:numPr>
        <w:jc w:val="both"/>
        <w:rPr>
          <w:rFonts w:ascii="Calibri" w:hAnsi="Calibri"/>
          <w:color w:val="000000"/>
        </w:rPr>
      </w:pPr>
      <w:r>
        <w:rPr>
          <w:rFonts w:ascii="Calibri" w:hAnsi="Calibri"/>
          <w:color w:val="000000"/>
        </w:rPr>
        <w:t xml:space="preserve">Half year revenues of £5.2m (H1 2015: </w:t>
      </w:r>
      <w:r w:rsidR="00A07C7A">
        <w:rPr>
          <w:rFonts w:ascii="Calibri" w:hAnsi="Calibri"/>
          <w:color w:val="000000"/>
        </w:rPr>
        <w:t>£</w:t>
      </w:r>
      <w:r>
        <w:rPr>
          <w:rFonts w:ascii="Calibri" w:hAnsi="Calibri"/>
          <w:color w:val="000000"/>
        </w:rPr>
        <w:t xml:space="preserve">5.1m); </w:t>
      </w:r>
      <w:r w:rsidR="0060244D">
        <w:rPr>
          <w:rFonts w:ascii="Calibri" w:hAnsi="Calibri"/>
          <w:color w:val="000000"/>
        </w:rPr>
        <w:t>adjusted LBITDA of £2.8m</w:t>
      </w:r>
      <w:r w:rsidR="00DB63B0">
        <w:rPr>
          <w:rFonts w:ascii="Calibri" w:hAnsi="Calibri"/>
          <w:color w:val="000000"/>
        </w:rPr>
        <w:t xml:space="preserve"> (H1 2015: </w:t>
      </w:r>
      <w:r w:rsidR="009719F5">
        <w:rPr>
          <w:rFonts w:ascii="Calibri" w:hAnsi="Calibri"/>
          <w:color w:val="000000"/>
        </w:rPr>
        <w:t>£</w:t>
      </w:r>
      <w:r w:rsidR="00DB63B0">
        <w:rPr>
          <w:rFonts w:ascii="Calibri" w:hAnsi="Calibri"/>
          <w:color w:val="000000"/>
        </w:rPr>
        <w:t>1.3m)</w:t>
      </w:r>
      <w:r w:rsidR="0060244D">
        <w:rPr>
          <w:rFonts w:ascii="Calibri" w:hAnsi="Calibri"/>
          <w:color w:val="000000"/>
        </w:rPr>
        <w:t xml:space="preserve">, after </w:t>
      </w:r>
      <w:r w:rsidR="008474A5">
        <w:rPr>
          <w:rFonts w:ascii="Calibri" w:hAnsi="Calibri"/>
          <w:color w:val="000000"/>
        </w:rPr>
        <w:t>£</w:t>
      </w:r>
      <w:r w:rsidR="00A318E0">
        <w:rPr>
          <w:rFonts w:ascii="Calibri" w:hAnsi="Calibri"/>
          <w:color w:val="000000"/>
        </w:rPr>
        <w:t>0</w:t>
      </w:r>
      <w:r w:rsidR="0060244D">
        <w:rPr>
          <w:rFonts w:ascii="Calibri" w:hAnsi="Calibri"/>
          <w:color w:val="000000"/>
        </w:rPr>
        <w:t>.</w:t>
      </w:r>
      <w:r w:rsidR="00204B6C">
        <w:rPr>
          <w:rFonts w:ascii="Calibri" w:hAnsi="Calibri"/>
          <w:color w:val="000000"/>
        </w:rPr>
        <w:t>7</w:t>
      </w:r>
      <w:r w:rsidR="0060244D">
        <w:rPr>
          <w:rFonts w:ascii="Calibri" w:hAnsi="Calibri"/>
          <w:color w:val="000000"/>
        </w:rPr>
        <w:t xml:space="preserve">m </w:t>
      </w:r>
      <w:r w:rsidR="00843455">
        <w:rPr>
          <w:rFonts w:ascii="Calibri" w:hAnsi="Calibri"/>
          <w:color w:val="000000"/>
        </w:rPr>
        <w:t>provision for bad debt at customer Guvera,</w:t>
      </w:r>
      <w:r w:rsidR="00531B91">
        <w:rPr>
          <w:rFonts w:ascii="Calibri" w:hAnsi="Calibri"/>
          <w:color w:val="000000"/>
        </w:rPr>
        <w:t xml:space="preserve"> costs relating to the move to a cloud based IT systems and reflecting the timing of R &amp; D tax credit; </w:t>
      </w:r>
      <w:r w:rsidR="00A02C6B">
        <w:rPr>
          <w:rFonts w:ascii="Calibri" w:hAnsi="Calibri"/>
          <w:color w:val="000000"/>
        </w:rPr>
        <w:t xml:space="preserve">the statutory loss for the period was £3.2m (H1 2015: statutory loss of £6.6m) </w:t>
      </w:r>
    </w:p>
    <w:p w14:paraId="40D34B20" w14:textId="25E06441" w:rsidR="00D76804" w:rsidRPr="00FA221F" w:rsidRDefault="00A02C6B" w:rsidP="00FA221F">
      <w:pPr>
        <w:pStyle w:val="ListParagraph"/>
        <w:jc w:val="both"/>
        <w:rPr>
          <w:rFonts w:ascii="Calibri" w:hAnsi="Calibri"/>
          <w:color w:val="000000"/>
        </w:rPr>
      </w:pPr>
      <w:r w:rsidRPr="00FA221F">
        <w:rPr>
          <w:rFonts w:ascii="Calibri" w:hAnsi="Calibri"/>
          <w:color w:val="000000"/>
        </w:rPr>
        <w:t xml:space="preserve">  </w:t>
      </w:r>
    </w:p>
    <w:p w14:paraId="010C9162" w14:textId="2E5B79C0" w:rsidR="00EA0A61" w:rsidRDefault="00D76804" w:rsidP="009F7857">
      <w:pPr>
        <w:pStyle w:val="ListParagraph"/>
        <w:numPr>
          <w:ilvl w:val="0"/>
          <w:numId w:val="12"/>
        </w:numPr>
        <w:jc w:val="both"/>
        <w:rPr>
          <w:rFonts w:ascii="Calibri" w:hAnsi="Calibri"/>
          <w:color w:val="000000"/>
        </w:rPr>
      </w:pPr>
      <w:r>
        <w:rPr>
          <w:rFonts w:ascii="Calibri" w:hAnsi="Calibri"/>
          <w:color w:val="000000"/>
        </w:rPr>
        <w:t>C</w:t>
      </w:r>
      <w:r w:rsidR="00EA0A61">
        <w:rPr>
          <w:rFonts w:ascii="Calibri" w:hAnsi="Calibri"/>
          <w:color w:val="000000"/>
        </w:rPr>
        <w:t>ash at period end of £1.1m</w:t>
      </w:r>
    </w:p>
    <w:p w14:paraId="6A1A56BE" w14:textId="77777777" w:rsidR="00645519" w:rsidRPr="00337B48" w:rsidRDefault="003E0C0A" w:rsidP="00337B48">
      <w:pPr>
        <w:jc w:val="both"/>
        <w:rPr>
          <w:rFonts w:ascii="Calibri" w:hAnsi="Calibri"/>
          <w:color w:val="000000"/>
        </w:rPr>
      </w:pPr>
      <w:r w:rsidRPr="003E0C0A">
        <w:rPr>
          <w:rFonts w:ascii="Calibri" w:hAnsi="Calibri"/>
          <w:color w:val="000000"/>
        </w:rPr>
        <w:t xml:space="preserve">      </w:t>
      </w:r>
      <w:r w:rsidR="00645519" w:rsidRPr="00645519">
        <w:rPr>
          <w:rFonts w:ascii="Calibri" w:hAnsi="Calibri"/>
          <w:color w:val="000000"/>
        </w:rPr>
        <w:t xml:space="preserve"> </w:t>
      </w:r>
      <w:r w:rsidR="00645519">
        <w:rPr>
          <w:rFonts w:ascii="Calibri" w:hAnsi="Calibri"/>
          <w:color w:val="000000"/>
        </w:rPr>
        <w:t xml:space="preserve"> </w:t>
      </w:r>
    </w:p>
    <w:p w14:paraId="094854C4" w14:textId="75DAA113" w:rsidR="004C0C8A" w:rsidRPr="00337B48" w:rsidRDefault="004C0C8A" w:rsidP="00337B48">
      <w:pPr>
        <w:jc w:val="both"/>
        <w:rPr>
          <w:rFonts w:ascii="Calibri" w:hAnsi="Calibri"/>
          <w:color w:val="000000"/>
        </w:rPr>
      </w:pPr>
      <w:r w:rsidRPr="00804DB0">
        <w:rPr>
          <w:rFonts w:ascii="Calibri" w:hAnsi="Calibri"/>
          <w:b/>
          <w:color w:val="000000"/>
        </w:rPr>
        <w:t>Simon Cole, Chief Executive of 7digital, said:</w:t>
      </w:r>
    </w:p>
    <w:p w14:paraId="797B59ED" w14:textId="3DE03B06" w:rsidR="00AA5B7D" w:rsidRPr="00AA5B7D" w:rsidRDefault="004C0C8A" w:rsidP="00D6092A">
      <w:pPr>
        <w:jc w:val="both"/>
        <w:rPr>
          <w:rFonts w:ascii="Calibri" w:hAnsi="Calibri"/>
          <w:color w:val="000000"/>
        </w:rPr>
      </w:pPr>
      <w:r w:rsidRPr="00337B48">
        <w:rPr>
          <w:rFonts w:ascii="Calibri" w:hAnsi="Calibri"/>
          <w:color w:val="000000"/>
        </w:rPr>
        <w:t>“</w:t>
      </w:r>
      <w:r w:rsidR="00AA5B7D" w:rsidRPr="00AA5B7D">
        <w:rPr>
          <w:rFonts w:ascii="Calibri" w:hAnsi="Calibri"/>
          <w:color w:val="000000"/>
        </w:rPr>
        <w:t xml:space="preserve">We have continued to improve the quality of our revenue base, remain confident of </w:t>
      </w:r>
      <w:r w:rsidR="0059112A">
        <w:rPr>
          <w:rFonts w:ascii="Calibri" w:hAnsi="Calibri"/>
          <w:color w:val="000000"/>
        </w:rPr>
        <w:t>our commitment to achieve</w:t>
      </w:r>
      <w:r w:rsidR="00AA5B7D" w:rsidRPr="00AA5B7D">
        <w:rPr>
          <w:rFonts w:ascii="Calibri" w:hAnsi="Calibri"/>
          <w:color w:val="000000"/>
        </w:rPr>
        <w:t xml:space="preserve"> profitability by the </w:t>
      </w:r>
      <w:r w:rsidR="00663850" w:rsidRPr="00AA5B7D">
        <w:rPr>
          <w:rFonts w:ascii="Calibri" w:hAnsi="Calibri"/>
          <w:color w:val="000000"/>
        </w:rPr>
        <w:t>year-end</w:t>
      </w:r>
      <w:r w:rsidR="00AA5B7D" w:rsidRPr="00AA5B7D">
        <w:rPr>
          <w:rFonts w:ascii="Calibri" w:hAnsi="Calibri"/>
          <w:color w:val="000000"/>
        </w:rPr>
        <w:t xml:space="preserve"> and expect the Group to be profi</w:t>
      </w:r>
      <w:r w:rsidR="00A270E0">
        <w:rPr>
          <w:rFonts w:ascii="Calibri" w:hAnsi="Calibri"/>
          <w:color w:val="000000"/>
        </w:rPr>
        <w:t xml:space="preserve">table for the full year 2017.  </w:t>
      </w:r>
    </w:p>
    <w:p w14:paraId="704608E9" w14:textId="62BDD167" w:rsidR="0059112A" w:rsidRDefault="00AA5B7D" w:rsidP="00D6092A">
      <w:pPr>
        <w:jc w:val="both"/>
        <w:rPr>
          <w:rFonts w:ascii="Calibri" w:hAnsi="Calibri"/>
          <w:color w:val="000000"/>
        </w:rPr>
      </w:pPr>
      <w:r w:rsidRPr="00AA5B7D">
        <w:rPr>
          <w:rFonts w:ascii="Calibri" w:hAnsi="Calibri"/>
          <w:color w:val="000000"/>
        </w:rPr>
        <w:t xml:space="preserve">It is disappointing that, despite this accelerating progress, </w:t>
      </w:r>
      <w:r w:rsidR="00843455">
        <w:rPr>
          <w:rFonts w:ascii="Calibri" w:hAnsi="Calibri"/>
          <w:color w:val="000000"/>
        </w:rPr>
        <w:t xml:space="preserve">the provision </w:t>
      </w:r>
      <w:r w:rsidR="00D76804">
        <w:rPr>
          <w:rFonts w:ascii="Calibri" w:hAnsi="Calibri"/>
          <w:color w:val="000000"/>
        </w:rPr>
        <w:t xml:space="preserve">for revenues owed to us by Guvera and </w:t>
      </w:r>
      <w:r w:rsidRPr="00AA5B7D">
        <w:rPr>
          <w:rFonts w:ascii="Calibri" w:hAnsi="Calibri"/>
          <w:color w:val="000000"/>
        </w:rPr>
        <w:t xml:space="preserve">slower revenue growth </w:t>
      </w:r>
      <w:r w:rsidR="00052781">
        <w:rPr>
          <w:rFonts w:ascii="Calibri" w:hAnsi="Calibri"/>
          <w:color w:val="000000"/>
        </w:rPr>
        <w:t>than expected</w:t>
      </w:r>
      <w:r w:rsidR="00843455">
        <w:rPr>
          <w:rFonts w:ascii="Calibri" w:hAnsi="Calibri"/>
          <w:color w:val="000000"/>
        </w:rPr>
        <w:t xml:space="preserve"> </w:t>
      </w:r>
      <w:r w:rsidR="00C81D9C">
        <w:rPr>
          <w:rFonts w:ascii="Calibri" w:hAnsi="Calibri"/>
          <w:color w:val="000000"/>
        </w:rPr>
        <w:t>in the first half overall</w:t>
      </w:r>
      <w:r w:rsidRPr="00AA5B7D">
        <w:rPr>
          <w:rFonts w:ascii="Calibri" w:hAnsi="Calibri"/>
          <w:color w:val="000000"/>
        </w:rPr>
        <w:t xml:space="preserve"> will result in a larger loss this year than we </w:t>
      </w:r>
      <w:r w:rsidR="00846F63">
        <w:rPr>
          <w:rFonts w:ascii="Calibri" w:hAnsi="Calibri"/>
          <w:color w:val="000000"/>
        </w:rPr>
        <w:t xml:space="preserve">had </w:t>
      </w:r>
      <w:r w:rsidRPr="00AA5B7D">
        <w:rPr>
          <w:rFonts w:ascii="Calibri" w:hAnsi="Calibri"/>
          <w:color w:val="000000"/>
        </w:rPr>
        <w:t>anticipated</w:t>
      </w:r>
      <w:r w:rsidR="00D76804">
        <w:rPr>
          <w:rFonts w:ascii="Calibri" w:hAnsi="Calibri"/>
          <w:color w:val="000000"/>
        </w:rPr>
        <w:t xml:space="preserve">. </w:t>
      </w:r>
      <w:r w:rsidR="000703FD" w:rsidRPr="000703FD">
        <w:rPr>
          <w:rFonts w:ascii="Calibri" w:hAnsi="Calibri"/>
          <w:color w:val="000000"/>
        </w:rPr>
        <w:t>We continue to expect to be broadly EBITDA breakeven in the final quarter of the year</w:t>
      </w:r>
      <w:r w:rsidR="000703FD">
        <w:rPr>
          <w:rFonts w:ascii="Calibri" w:hAnsi="Calibri"/>
          <w:color w:val="000000"/>
        </w:rPr>
        <w:t>.</w:t>
      </w:r>
    </w:p>
    <w:p w14:paraId="46096F59" w14:textId="5F625488" w:rsidR="00F4344A" w:rsidRDefault="0059112A" w:rsidP="00D6092A">
      <w:pPr>
        <w:jc w:val="both"/>
        <w:rPr>
          <w:rFonts w:asciiTheme="minorHAnsi" w:hAnsiTheme="minorHAnsi"/>
          <w:szCs w:val="18"/>
        </w:rPr>
      </w:pPr>
      <w:r>
        <w:rPr>
          <w:rFonts w:ascii="Calibri" w:hAnsi="Calibri"/>
          <w:color w:val="000000"/>
        </w:rPr>
        <w:t>Our Snowite acquisition was c</w:t>
      </w:r>
      <w:r w:rsidR="00663850">
        <w:rPr>
          <w:rFonts w:ascii="Calibri" w:hAnsi="Calibri"/>
          <w:color w:val="000000"/>
        </w:rPr>
        <w:t>ompleted in this period and has</w:t>
      </w:r>
      <w:r>
        <w:rPr>
          <w:rFonts w:ascii="Calibri" w:hAnsi="Calibri"/>
          <w:color w:val="000000"/>
        </w:rPr>
        <w:t xml:space="preserve"> brought greater than the anticipated cost </w:t>
      </w:r>
      <w:r w:rsidR="00686DAF">
        <w:rPr>
          <w:rFonts w:ascii="Calibri" w:hAnsi="Calibri"/>
          <w:color w:val="000000"/>
        </w:rPr>
        <w:t>savings, which will reflect</w:t>
      </w:r>
      <w:r w:rsidR="00663850">
        <w:rPr>
          <w:rFonts w:ascii="Calibri" w:hAnsi="Calibri"/>
          <w:color w:val="000000"/>
        </w:rPr>
        <w:t xml:space="preserve"> </w:t>
      </w:r>
      <w:r w:rsidR="00686DAF">
        <w:rPr>
          <w:rFonts w:ascii="Calibri" w:hAnsi="Calibri"/>
          <w:color w:val="000000"/>
        </w:rPr>
        <w:t>in a £1m reduction in anticipated overhead for next year.</w:t>
      </w:r>
      <w:r>
        <w:rPr>
          <w:rFonts w:ascii="Calibri" w:hAnsi="Calibri"/>
          <w:color w:val="000000"/>
        </w:rPr>
        <w:t xml:space="preserve"> </w:t>
      </w:r>
      <w:r w:rsidR="00686DAF">
        <w:rPr>
          <w:rFonts w:ascii="Calibri" w:hAnsi="Calibri"/>
          <w:color w:val="000000"/>
        </w:rPr>
        <w:t xml:space="preserve">  It has also brought new revenues and clients</w:t>
      </w:r>
      <w:r w:rsidR="007708F8">
        <w:rPr>
          <w:rFonts w:ascii="Calibri" w:hAnsi="Calibri"/>
          <w:color w:val="000000"/>
        </w:rPr>
        <w:t>;</w:t>
      </w:r>
      <w:r w:rsidR="00686DAF">
        <w:rPr>
          <w:rFonts w:ascii="Calibri" w:hAnsi="Calibri"/>
          <w:color w:val="000000"/>
        </w:rPr>
        <w:t xml:space="preserve"> </w:t>
      </w:r>
      <w:r w:rsidR="009E212D">
        <w:rPr>
          <w:rFonts w:ascii="Calibri" w:hAnsi="Calibri"/>
          <w:color w:val="000000"/>
        </w:rPr>
        <w:t>next week</w:t>
      </w:r>
      <w:r w:rsidR="00686DAF">
        <w:rPr>
          <w:rFonts w:ascii="Calibri" w:hAnsi="Calibri"/>
          <w:color w:val="000000"/>
        </w:rPr>
        <w:t xml:space="preserve"> we will launch a major new streamed music service in France for </w:t>
      </w:r>
      <w:proofErr w:type="spellStart"/>
      <w:r w:rsidR="00686DAF">
        <w:rPr>
          <w:rFonts w:ascii="Calibri" w:hAnsi="Calibri"/>
          <w:color w:val="000000"/>
        </w:rPr>
        <w:t>Cdiscount</w:t>
      </w:r>
      <w:proofErr w:type="spellEnd"/>
      <w:r w:rsidR="00686DAF">
        <w:rPr>
          <w:rFonts w:ascii="Calibri" w:hAnsi="Calibri"/>
          <w:color w:val="000000"/>
        </w:rPr>
        <w:t xml:space="preserve">, adding to existing retail clients </w:t>
      </w:r>
      <w:proofErr w:type="spellStart"/>
      <w:r w:rsidR="00686DAF" w:rsidRPr="00FA221F">
        <w:rPr>
          <w:rFonts w:asciiTheme="minorHAnsi" w:hAnsiTheme="minorHAnsi"/>
          <w:szCs w:val="18"/>
        </w:rPr>
        <w:t>Fnac</w:t>
      </w:r>
      <w:proofErr w:type="spellEnd"/>
      <w:r w:rsidR="00686DAF" w:rsidRPr="00FA221F">
        <w:rPr>
          <w:rFonts w:asciiTheme="minorHAnsi" w:hAnsiTheme="minorHAnsi"/>
          <w:szCs w:val="18"/>
        </w:rPr>
        <w:t xml:space="preserve"> and </w:t>
      </w:r>
      <w:proofErr w:type="spellStart"/>
      <w:r w:rsidR="00686DAF" w:rsidRPr="00FA221F">
        <w:rPr>
          <w:rFonts w:asciiTheme="minorHAnsi" w:hAnsiTheme="minorHAnsi"/>
          <w:szCs w:val="18"/>
        </w:rPr>
        <w:t>E.Leclerc</w:t>
      </w:r>
      <w:proofErr w:type="spellEnd"/>
      <w:r w:rsidR="00686DAF">
        <w:rPr>
          <w:rFonts w:asciiTheme="minorHAnsi" w:hAnsiTheme="minorHAnsi"/>
          <w:szCs w:val="18"/>
        </w:rPr>
        <w:t>.</w:t>
      </w:r>
    </w:p>
    <w:p w14:paraId="148A5BA5" w14:textId="10B00B1F" w:rsidR="004C0C8A" w:rsidRPr="00337B48" w:rsidRDefault="00F4344A" w:rsidP="00D6092A">
      <w:pPr>
        <w:jc w:val="both"/>
        <w:rPr>
          <w:rFonts w:ascii="Calibri" w:hAnsi="Calibri"/>
          <w:color w:val="000000"/>
        </w:rPr>
      </w:pPr>
      <w:r>
        <w:rPr>
          <w:rFonts w:asciiTheme="minorHAnsi" w:hAnsiTheme="minorHAnsi"/>
          <w:szCs w:val="18"/>
        </w:rPr>
        <w:t xml:space="preserve">The sales pipeline is strong for the second half of the year with a number of significant contracts in the final stages of negotiation”. </w:t>
      </w:r>
      <w:r w:rsidR="00AA5B7D" w:rsidRPr="00AA5B7D">
        <w:rPr>
          <w:rFonts w:ascii="Calibri" w:hAnsi="Calibri"/>
          <w:color w:val="000000"/>
        </w:rPr>
        <w:t xml:space="preserve">    </w:t>
      </w:r>
    </w:p>
    <w:p w14:paraId="1AEA7B5F" w14:textId="77777777" w:rsidR="00052D50" w:rsidRPr="00337B48" w:rsidRDefault="00052D50" w:rsidP="00337B48">
      <w:pPr>
        <w:jc w:val="both"/>
        <w:rPr>
          <w:rFonts w:ascii="Calibri" w:hAnsi="Calibri"/>
          <w:color w:val="000000"/>
        </w:rPr>
      </w:pPr>
    </w:p>
    <w:p w14:paraId="308BA85B" w14:textId="0402FFD3" w:rsidR="00052D50" w:rsidRPr="00337B48" w:rsidRDefault="001C45B0" w:rsidP="00337B48">
      <w:pPr>
        <w:jc w:val="both"/>
        <w:rPr>
          <w:rFonts w:ascii="Calibri" w:hAnsi="Calibri"/>
          <w:color w:val="000000"/>
        </w:rPr>
      </w:pPr>
      <w:r w:rsidRPr="00804DB0">
        <w:rPr>
          <w:rFonts w:ascii="Calibri" w:hAnsi="Calibri"/>
          <w:color w:val="000000"/>
        </w:rPr>
        <w:t>The information communicated in this announcement contains inside information for the purposes of Article 7 of the Market Abuse Regulation (EU) No. 596/2014.</w:t>
      </w:r>
    </w:p>
    <w:p w14:paraId="78C6716A" w14:textId="77777777" w:rsidR="00784641" w:rsidRPr="00764613" w:rsidRDefault="00490B6E" w:rsidP="00784641">
      <w:pPr>
        <w:keepNext/>
        <w:spacing w:after="0"/>
        <w:jc w:val="both"/>
        <w:rPr>
          <w:rFonts w:asciiTheme="minorHAnsi" w:hAnsiTheme="minorHAnsi"/>
          <w:b/>
          <w:color w:val="000000"/>
          <w:sz w:val="16"/>
          <w:szCs w:val="16"/>
        </w:rPr>
      </w:pPr>
      <w:r w:rsidRPr="00490B6E">
        <w:rPr>
          <w:rFonts w:asciiTheme="minorHAnsi" w:hAnsiTheme="minorHAnsi"/>
          <w:b/>
          <w:color w:val="000000"/>
          <w:sz w:val="16"/>
          <w:szCs w:val="16"/>
        </w:rPr>
        <w:lastRenderedPageBreak/>
        <w:t>Enquiries:</w:t>
      </w:r>
    </w:p>
    <w:p w14:paraId="6FF9DED9" w14:textId="77777777" w:rsidR="00784641" w:rsidRPr="00764613" w:rsidRDefault="00784641" w:rsidP="00784641">
      <w:pPr>
        <w:keepNext/>
        <w:spacing w:after="0"/>
        <w:jc w:val="both"/>
        <w:rPr>
          <w:rFonts w:asciiTheme="minorHAnsi" w:hAnsiTheme="minorHAnsi"/>
          <w:b/>
          <w:color w:val="000000"/>
          <w:sz w:val="16"/>
          <w:szCs w:val="16"/>
        </w:rPr>
      </w:pPr>
    </w:p>
    <w:tbl>
      <w:tblPr>
        <w:tblW w:w="8188" w:type="dxa"/>
        <w:tblLook w:val="01E0" w:firstRow="1" w:lastRow="1" w:firstColumn="1" w:lastColumn="1" w:noHBand="0" w:noVBand="0"/>
      </w:tblPr>
      <w:tblGrid>
        <w:gridCol w:w="5920"/>
        <w:gridCol w:w="2268"/>
      </w:tblGrid>
      <w:tr w:rsidR="00784641" w:rsidRPr="00764613" w14:paraId="5AD4502F" w14:textId="77777777" w:rsidTr="003754C4">
        <w:tc>
          <w:tcPr>
            <w:tcW w:w="5920" w:type="dxa"/>
          </w:tcPr>
          <w:p w14:paraId="5FE72809" w14:textId="77777777" w:rsidR="00784641" w:rsidRPr="00764613" w:rsidRDefault="00490B6E" w:rsidP="002624F1">
            <w:pPr>
              <w:spacing w:after="0"/>
              <w:jc w:val="both"/>
              <w:rPr>
                <w:rFonts w:asciiTheme="minorHAnsi" w:hAnsiTheme="minorHAnsi" w:cs="Tahoma"/>
                <w:b/>
                <w:color w:val="000000"/>
                <w:sz w:val="16"/>
                <w:szCs w:val="16"/>
              </w:rPr>
            </w:pPr>
            <w:r>
              <w:rPr>
                <w:rFonts w:asciiTheme="minorHAnsi" w:hAnsiTheme="minorHAnsi"/>
                <w:b/>
                <w:color w:val="000000"/>
                <w:sz w:val="16"/>
                <w:szCs w:val="16"/>
              </w:rPr>
              <w:t>7digital Group</w:t>
            </w:r>
          </w:p>
        </w:tc>
        <w:tc>
          <w:tcPr>
            <w:tcW w:w="2268" w:type="dxa"/>
          </w:tcPr>
          <w:p w14:paraId="41F7CF31" w14:textId="77777777" w:rsidR="00784641" w:rsidRPr="00764613" w:rsidRDefault="00490B6E" w:rsidP="002624F1">
            <w:pPr>
              <w:spacing w:after="0"/>
              <w:jc w:val="both"/>
              <w:rPr>
                <w:rFonts w:asciiTheme="minorHAnsi" w:hAnsiTheme="minorHAnsi"/>
                <w:b/>
                <w:color w:val="000000"/>
                <w:sz w:val="16"/>
                <w:szCs w:val="16"/>
              </w:rPr>
            </w:pPr>
            <w:r>
              <w:rPr>
                <w:rFonts w:asciiTheme="minorHAnsi" w:hAnsiTheme="minorHAnsi"/>
                <w:b/>
                <w:color w:val="000000"/>
                <w:sz w:val="16"/>
                <w:szCs w:val="16"/>
              </w:rPr>
              <w:t>020 7099 7777</w:t>
            </w:r>
          </w:p>
        </w:tc>
      </w:tr>
      <w:tr w:rsidR="00784641" w:rsidRPr="00764613" w14:paraId="29BDCB73" w14:textId="77777777" w:rsidTr="003754C4">
        <w:tc>
          <w:tcPr>
            <w:tcW w:w="5920" w:type="dxa"/>
          </w:tcPr>
          <w:p w14:paraId="1E14FC8F" w14:textId="77777777" w:rsidR="00784641" w:rsidRPr="00764613" w:rsidRDefault="00490B6E" w:rsidP="002624F1">
            <w:pPr>
              <w:spacing w:after="0"/>
              <w:jc w:val="both"/>
              <w:rPr>
                <w:rFonts w:asciiTheme="minorHAnsi" w:hAnsiTheme="minorHAnsi" w:cs="Tahoma"/>
                <w:b/>
                <w:color w:val="000000"/>
                <w:sz w:val="16"/>
                <w:szCs w:val="16"/>
              </w:rPr>
            </w:pPr>
            <w:r>
              <w:rPr>
                <w:rFonts w:asciiTheme="minorHAnsi" w:hAnsiTheme="minorHAnsi"/>
                <w:color w:val="000000"/>
                <w:sz w:val="16"/>
                <w:szCs w:val="16"/>
              </w:rPr>
              <w:t>Simon Cole, Chief Executive</w:t>
            </w:r>
          </w:p>
        </w:tc>
        <w:tc>
          <w:tcPr>
            <w:tcW w:w="2268" w:type="dxa"/>
          </w:tcPr>
          <w:p w14:paraId="2629B97E" w14:textId="77777777" w:rsidR="00784641" w:rsidRPr="00764613" w:rsidRDefault="00784641" w:rsidP="002624F1">
            <w:pPr>
              <w:spacing w:after="0"/>
              <w:jc w:val="both"/>
              <w:rPr>
                <w:rFonts w:asciiTheme="minorHAnsi" w:hAnsiTheme="minorHAnsi" w:cs="Tahoma"/>
                <w:b/>
                <w:color w:val="000000"/>
                <w:sz w:val="16"/>
                <w:szCs w:val="16"/>
              </w:rPr>
            </w:pPr>
          </w:p>
        </w:tc>
      </w:tr>
      <w:tr w:rsidR="00784641" w:rsidRPr="00764613" w14:paraId="62B682B8" w14:textId="77777777" w:rsidTr="003754C4">
        <w:tc>
          <w:tcPr>
            <w:tcW w:w="5920" w:type="dxa"/>
          </w:tcPr>
          <w:p w14:paraId="7132C8DA" w14:textId="77777777" w:rsidR="00784641" w:rsidRPr="00764613" w:rsidRDefault="00490B6E" w:rsidP="002624F1">
            <w:pPr>
              <w:spacing w:after="0"/>
              <w:jc w:val="both"/>
              <w:rPr>
                <w:rFonts w:asciiTheme="minorHAnsi" w:hAnsiTheme="minorHAnsi"/>
                <w:color w:val="000000"/>
                <w:sz w:val="16"/>
                <w:szCs w:val="16"/>
              </w:rPr>
            </w:pPr>
            <w:r>
              <w:rPr>
                <w:rFonts w:asciiTheme="minorHAnsi" w:hAnsiTheme="minorHAnsi"/>
                <w:color w:val="000000"/>
                <w:sz w:val="16"/>
                <w:szCs w:val="16"/>
              </w:rPr>
              <w:t>Matt Honey, Chief Financial Officer</w:t>
            </w:r>
          </w:p>
          <w:p w14:paraId="44503760" w14:textId="77777777" w:rsidR="00784641" w:rsidRPr="00764613" w:rsidRDefault="00490B6E" w:rsidP="002624F1">
            <w:pPr>
              <w:spacing w:after="0"/>
              <w:jc w:val="both"/>
              <w:rPr>
                <w:rFonts w:asciiTheme="minorHAnsi" w:hAnsiTheme="minorHAnsi" w:cs="Tahoma"/>
                <w:color w:val="000000"/>
                <w:sz w:val="16"/>
                <w:szCs w:val="16"/>
              </w:rPr>
            </w:pPr>
            <w:r>
              <w:rPr>
                <w:rFonts w:asciiTheme="minorHAnsi" w:hAnsiTheme="minorHAnsi"/>
                <w:color w:val="000000"/>
                <w:sz w:val="16"/>
                <w:szCs w:val="16"/>
              </w:rPr>
              <w:t>Holly Ashmore, PR and Client Relations Manager</w:t>
            </w:r>
          </w:p>
        </w:tc>
        <w:tc>
          <w:tcPr>
            <w:tcW w:w="2268" w:type="dxa"/>
          </w:tcPr>
          <w:p w14:paraId="5469322B" w14:textId="77777777" w:rsidR="00784641" w:rsidRPr="00764613" w:rsidRDefault="00784641" w:rsidP="002624F1">
            <w:pPr>
              <w:spacing w:after="0"/>
              <w:jc w:val="both"/>
              <w:rPr>
                <w:rFonts w:asciiTheme="minorHAnsi" w:hAnsiTheme="minorHAnsi" w:cs="Tahoma"/>
                <w:color w:val="000000"/>
                <w:sz w:val="16"/>
                <w:szCs w:val="16"/>
              </w:rPr>
            </w:pPr>
          </w:p>
        </w:tc>
      </w:tr>
      <w:tr w:rsidR="00784641" w:rsidRPr="00764613" w14:paraId="6F872ACB" w14:textId="77777777" w:rsidTr="003754C4">
        <w:tc>
          <w:tcPr>
            <w:tcW w:w="5920" w:type="dxa"/>
          </w:tcPr>
          <w:p w14:paraId="0EC1CAA7" w14:textId="77777777" w:rsidR="00784641" w:rsidRPr="00764613" w:rsidRDefault="00784641" w:rsidP="002624F1">
            <w:pPr>
              <w:spacing w:after="0"/>
              <w:jc w:val="both"/>
              <w:rPr>
                <w:rFonts w:asciiTheme="minorHAnsi" w:hAnsiTheme="minorHAnsi" w:cs="Tahoma"/>
                <w:color w:val="000000"/>
                <w:sz w:val="16"/>
                <w:szCs w:val="16"/>
              </w:rPr>
            </w:pPr>
          </w:p>
        </w:tc>
        <w:tc>
          <w:tcPr>
            <w:tcW w:w="2268" w:type="dxa"/>
          </w:tcPr>
          <w:p w14:paraId="3B881B2C" w14:textId="77777777" w:rsidR="00784641" w:rsidRPr="00764613" w:rsidRDefault="00784641" w:rsidP="002624F1">
            <w:pPr>
              <w:spacing w:after="0"/>
              <w:jc w:val="both"/>
              <w:rPr>
                <w:rFonts w:asciiTheme="minorHAnsi" w:hAnsiTheme="minorHAnsi" w:cs="Tahoma"/>
                <w:color w:val="000000"/>
                <w:sz w:val="16"/>
                <w:szCs w:val="16"/>
              </w:rPr>
            </w:pPr>
          </w:p>
        </w:tc>
      </w:tr>
      <w:tr w:rsidR="00784641" w:rsidRPr="00764613" w14:paraId="36BB3C1C" w14:textId="77777777" w:rsidTr="003754C4">
        <w:tc>
          <w:tcPr>
            <w:tcW w:w="5920" w:type="dxa"/>
          </w:tcPr>
          <w:p w14:paraId="2F819659" w14:textId="77777777" w:rsidR="00784641" w:rsidRPr="00764613" w:rsidRDefault="00490B6E" w:rsidP="002624F1">
            <w:pPr>
              <w:spacing w:after="0"/>
              <w:jc w:val="both"/>
              <w:rPr>
                <w:rFonts w:asciiTheme="minorHAnsi" w:hAnsiTheme="minorHAnsi" w:cs="Tahoma"/>
                <w:b/>
                <w:color w:val="000000"/>
                <w:sz w:val="16"/>
                <w:szCs w:val="16"/>
              </w:rPr>
            </w:pPr>
            <w:proofErr w:type="spellStart"/>
            <w:r w:rsidRPr="00490B6E">
              <w:rPr>
                <w:rFonts w:asciiTheme="minorHAnsi" w:hAnsiTheme="minorHAnsi"/>
                <w:b/>
                <w:color w:val="000000"/>
                <w:sz w:val="16"/>
                <w:szCs w:val="16"/>
              </w:rPr>
              <w:t>finnCap</w:t>
            </w:r>
            <w:proofErr w:type="spellEnd"/>
            <w:r w:rsidRPr="00490B6E">
              <w:rPr>
                <w:rFonts w:asciiTheme="minorHAnsi" w:hAnsiTheme="minorHAnsi"/>
                <w:b/>
                <w:color w:val="000000"/>
                <w:sz w:val="16"/>
                <w:szCs w:val="16"/>
              </w:rPr>
              <w:t xml:space="preserve"> (nominated adviser and broker)</w:t>
            </w:r>
          </w:p>
        </w:tc>
        <w:tc>
          <w:tcPr>
            <w:tcW w:w="2268" w:type="dxa"/>
          </w:tcPr>
          <w:p w14:paraId="19719DB1" w14:textId="77777777" w:rsidR="00784641" w:rsidRPr="00764613" w:rsidRDefault="00490B6E" w:rsidP="002624F1">
            <w:pPr>
              <w:spacing w:after="0"/>
              <w:jc w:val="both"/>
              <w:rPr>
                <w:rFonts w:asciiTheme="minorHAnsi" w:hAnsiTheme="minorHAnsi"/>
                <w:b/>
                <w:color w:val="000000"/>
                <w:sz w:val="16"/>
                <w:szCs w:val="16"/>
              </w:rPr>
            </w:pPr>
            <w:r w:rsidRPr="00490B6E">
              <w:rPr>
                <w:rFonts w:asciiTheme="minorHAnsi" w:hAnsiTheme="minorHAnsi"/>
                <w:b/>
                <w:color w:val="000000"/>
                <w:sz w:val="16"/>
                <w:szCs w:val="16"/>
              </w:rPr>
              <w:t>020 7220 0500</w:t>
            </w:r>
          </w:p>
        </w:tc>
      </w:tr>
      <w:tr w:rsidR="00784641" w:rsidRPr="00764613" w14:paraId="6C7E1F70" w14:textId="77777777" w:rsidTr="003754C4">
        <w:tc>
          <w:tcPr>
            <w:tcW w:w="5920" w:type="dxa"/>
          </w:tcPr>
          <w:p w14:paraId="47FDC97A" w14:textId="420FE88C" w:rsidR="00784641" w:rsidRPr="00764613" w:rsidRDefault="00490B6E" w:rsidP="003754C4">
            <w:pPr>
              <w:pStyle w:val="bw"/>
              <w:spacing w:after="0"/>
              <w:rPr>
                <w:rFonts w:ascii="Calibri" w:hAnsi="Calibri"/>
                <w:color w:val="000000"/>
                <w:sz w:val="16"/>
                <w:szCs w:val="16"/>
              </w:rPr>
            </w:pPr>
            <w:r w:rsidRPr="00490B6E">
              <w:rPr>
                <w:rStyle w:val="bf"/>
                <w:rFonts w:ascii="Calibri" w:hAnsi="Calibri"/>
                <w:color w:val="000000"/>
                <w:sz w:val="16"/>
                <w:szCs w:val="16"/>
              </w:rPr>
              <w:t>Geoff Nash / Carl Holmes - Corporate Finance</w:t>
            </w:r>
            <w:r w:rsidR="003754C4">
              <w:rPr>
                <w:rStyle w:val="bf"/>
                <w:rFonts w:ascii="Calibri" w:hAnsi="Calibri"/>
                <w:color w:val="000000"/>
                <w:sz w:val="16"/>
                <w:szCs w:val="16"/>
              </w:rPr>
              <w:br/>
            </w:r>
            <w:r w:rsidR="003754C4" w:rsidRPr="00490B6E">
              <w:rPr>
                <w:rFonts w:ascii="Calibri" w:hAnsi="Calibri"/>
                <w:color w:val="000000"/>
                <w:sz w:val="16"/>
                <w:szCs w:val="16"/>
              </w:rPr>
              <w:t xml:space="preserve">Malar </w:t>
            </w:r>
            <w:proofErr w:type="spellStart"/>
            <w:r w:rsidR="003754C4" w:rsidRPr="00490B6E">
              <w:rPr>
                <w:rFonts w:ascii="Calibri" w:hAnsi="Calibri"/>
                <w:color w:val="000000"/>
                <w:sz w:val="16"/>
                <w:szCs w:val="16"/>
              </w:rPr>
              <w:t>Velaigam</w:t>
            </w:r>
            <w:proofErr w:type="spellEnd"/>
            <w:r w:rsidR="003754C4" w:rsidRPr="00490B6E">
              <w:rPr>
                <w:rFonts w:ascii="Calibri" w:hAnsi="Calibri"/>
                <w:color w:val="000000"/>
                <w:sz w:val="16"/>
                <w:szCs w:val="16"/>
              </w:rPr>
              <w:t xml:space="preserve"> / Mia Gardner - Corporate Broking</w:t>
            </w:r>
          </w:p>
        </w:tc>
        <w:tc>
          <w:tcPr>
            <w:tcW w:w="2268" w:type="dxa"/>
          </w:tcPr>
          <w:p w14:paraId="6E2715D9" w14:textId="77777777" w:rsidR="00784641" w:rsidRPr="00764613" w:rsidRDefault="00784641" w:rsidP="002624F1">
            <w:pPr>
              <w:spacing w:after="0"/>
              <w:jc w:val="both"/>
              <w:rPr>
                <w:rFonts w:asciiTheme="minorHAnsi" w:hAnsiTheme="minorHAnsi" w:cs="Tahoma"/>
                <w:b/>
                <w:color w:val="000000"/>
                <w:sz w:val="16"/>
                <w:szCs w:val="16"/>
              </w:rPr>
            </w:pPr>
          </w:p>
        </w:tc>
      </w:tr>
      <w:tr w:rsidR="00784641" w:rsidRPr="00B64527" w14:paraId="319E1BCF" w14:textId="77777777" w:rsidTr="003754C4">
        <w:tc>
          <w:tcPr>
            <w:tcW w:w="5920" w:type="dxa"/>
          </w:tcPr>
          <w:p w14:paraId="3C87ACAB" w14:textId="77777777" w:rsidR="00784641" w:rsidRPr="00764613" w:rsidRDefault="00784641" w:rsidP="002624F1">
            <w:pPr>
              <w:spacing w:after="0"/>
              <w:jc w:val="both"/>
              <w:rPr>
                <w:rFonts w:asciiTheme="minorHAnsi" w:hAnsiTheme="minorHAnsi" w:cs="Tahoma"/>
                <w:color w:val="000000"/>
                <w:sz w:val="16"/>
                <w:szCs w:val="16"/>
              </w:rPr>
            </w:pPr>
          </w:p>
        </w:tc>
        <w:tc>
          <w:tcPr>
            <w:tcW w:w="2268" w:type="dxa"/>
          </w:tcPr>
          <w:p w14:paraId="3BF7EF24" w14:textId="77777777" w:rsidR="00784641" w:rsidRPr="00764613" w:rsidRDefault="00784641" w:rsidP="002624F1">
            <w:pPr>
              <w:spacing w:after="0"/>
              <w:jc w:val="both"/>
              <w:rPr>
                <w:rFonts w:asciiTheme="minorHAnsi" w:hAnsiTheme="minorHAnsi" w:cs="Tahoma"/>
                <w:color w:val="000000"/>
                <w:sz w:val="16"/>
                <w:szCs w:val="16"/>
              </w:rPr>
            </w:pPr>
          </w:p>
        </w:tc>
      </w:tr>
      <w:tr w:rsidR="00764613" w:rsidRPr="00B64527" w14:paraId="484D87F4" w14:textId="77777777" w:rsidTr="003754C4">
        <w:trPr>
          <w:trHeight w:val="80"/>
        </w:trPr>
        <w:tc>
          <w:tcPr>
            <w:tcW w:w="5920" w:type="dxa"/>
          </w:tcPr>
          <w:p w14:paraId="199DA4F9" w14:textId="77777777" w:rsidR="00764613" w:rsidRPr="00B64527" w:rsidRDefault="00764613" w:rsidP="002624F1">
            <w:pPr>
              <w:spacing w:after="0"/>
              <w:jc w:val="both"/>
              <w:rPr>
                <w:rFonts w:asciiTheme="minorHAnsi" w:hAnsiTheme="minorHAnsi" w:cs="Tahoma"/>
                <w:b/>
                <w:color w:val="000000"/>
                <w:sz w:val="16"/>
                <w:szCs w:val="16"/>
                <w:highlight w:val="yellow"/>
              </w:rPr>
            </w:pPr>
            <w:r w:rsidRPr="003165A8">
              <w:rPr>
                <w:rFonts w:asciiTheme="minorHAnsi" w:hAnsiTheme="minorHAnsi" w:cs="Tahoma"/>
                <w:b/>
                <w:color w:val="000000"/>
                <w:sz w:val="16"/>
                <w:szCs w:val="16"/>
              </w:rPr>
              <w:t xml:space="preserve">Weber </w:t>
            </w:r>
            <w:proofErr w:type="spellStart"/>
            <w:r w:rsidRPr="003165A8">
              <w:rPr>
                <w:rFonts w:asciiTheme="minorHAnsi" w:hAnsiTheme="minorHAnsi" w:cs="Tahoma"/>
                <w:b/>
                <w:color w:val="000000"/>
                <w:sz w:val="16"/>
                <w:szCs w:val="16"/>
              </w:rPr>
              <w:t>Shandwick</w:t>
            </w:r>
            <w:proofErr w:type="spellEnd"/>
          </w:p>
        </w:tc>
        <w:tc>
          <w:tcPr>
            <w:tcW w:w="2268" w:type="dxa"/>
          </w:tcPr>
          <w:p w14:paraId="4FCEB6F4" w14:textId="77777777" w:rsidR="00764613" w:rsidRPr="00B64527" w:rsidRDefault="00764613" w:rsidP="002624F1">
            <w:pPr>
              <w:spacing w:after="0"/>
              <w:jc w:val="both"/>
              <w:rPr>
                <w:rFonts w:asciiTheme="minorHAnsi" w:hAnsiTheme="minorHAnsi" w:cs="Tahoma"/>
                <w:color w:val="000000"/>
                <w:sz w:val="16"/>
                <w:szCs w:val="16"/>
                <w:highlight w:val="yellow"/>
              </w:rPr>
            </w:pPr>
            <w:r w:rsidRPr="003165A8">
              <w:rPr>
                <w:rFonts w:asciiTheme="minorHAnsi" w:hAnsiTheme="minorHAnsi"/>
                <w:b/>
                <w:color w:val="000000"/>
                <w:sz w:val="16"/>
                <w:szCs w:val="16"/>
              </w:rPr>
              <w:t>020 7067 0000</w:t>
            </w:r>
          </w:p>
        </w:tc>
      </w:tr>
      <w:tr w:rsidR="00764613" w:rsidRPr="00B64527" w14:paraId="7C9BCC94" w14:textId="77777777" w:rsidTr="003754C4">
        <w:trPr>
          <w:trHeight w:val="80"/>
        </w:trPr>
        <w:tc>
          <w:tcPr>
            <w:tcW w:w="5920" w:type="dxa"/>
          </w:tcPr>
          <w:p w14:paraId="61658942" w14:textId="77777777" w:rsidR="00764613" w:rsidRPr="00B64527" w:rsidRDefault="00764613" w:rsidP="002624F1">
            <w:pPr>
              <w:spacing w:after="0"/>
              <w:jc w:val="both"/>
              <w:rPr>
                <w:rFonts w:asciiTheme="minorHAnsi" w:hAnsiTheme="minorHAnsi" w:cs="Tahoma"/>
                <w:color w:val="000000"/>
                <w:sz w:val="16"/>
                <w:szCs w:val="16"/>
                <w:highlight w:val="yellow"/>
              </w:rPr>
            </w:pPr>
            <w:r w:rsidRPr="003165A8">
              <w:rPr>
                <w:rFonts w:asciiTheme="minorHAnsi" w:hAnsiTheme="minorHAnsi" w:cs="Tahoma"/>
                <w:color w:val="000000"/>
                <w:sz w:val="16"/>
                <w:szCs w:val="16"/>
              </w:rPr>
              <w:t>Nick Oborne/Tom Jenkins</w:t>
            </w:r>
          </w:p>
        </w:tc>
        <w:tc>
          <w:tcPr>
            <w:tcW w:w="2268" w:type="dxa"/>
          </w:tcPr>
          <w:p w14:paraId="0F4F9F37" w14:textId="77777777" w:rsidR="00764613" w:rsidRPr="00B64527" w:rsidRDefault="00764613" w:rsidP="002624F1">
            <w:pPr>
              <w:spacing w:after="0"/>
              <w:jc w:val="both"/>
              <w:rPr>
                <w:rFonts w:asciiTheme="minorHAnsi" w:hAnsiTheme="minorHAnsi" w:cs="Tahoma"/>
                <w:color w:val="000000"/>
                <w:sz w:val="16"/>
                <w:szCs w:val="16"/>
                <w:highlight w:val="yellow"/>
              </w:rPr>
            </w:pPr>
          </w:p>
        </w:tc>
      </w:tr>
    </w:tbl>
    <w:p w14:paraId="00045489" w14:textId="77777777" w:rsidR="00784641" w:rsidRPr="00B64527" w:rsidRDefault="00784641" w:rsidP="00784641">
      <w:pPr>
        <w:pStyle w:val="B1"/>
        <w:numPr>
          <w:ilvl w:val="0"/>
          <w:numId w:val="0"/>
        </w:numPr>
        <w:tabs>
          <w:tab w:val="left" w:pos="6837"/>
        </w:tabs>
        <w:spacing w:after="0"/>
        <w:rPr>
          <w:rFonts w:ascii="Calibri" w:hAnsi="Calibri" w:cs="Tahoma"/>
          <w:b/>
          <w:noProof/>
          <w:color w:val="000000"/>
          <w:highlight w:val="yellow"/>
          <w:lang w:val="en-GB"/>
        </w:rPr>
      </w:pPr>
    </w:p>
    <w:p w14:paraId="74D88008" w14:textId="77777777" w:rsidR="003754C4" w:rsidRDefault="003754C4" w:rsidP="00F032FF">
      <w:pPr>
        <w:pStyle w:val="Header"/>
        <w:rPr>
          <w:b/>
        </w:rPr>
      </w:pPr>
    </w:p>
    <w:p w14:paraId="1FA126D6" w14:textId="77777777" w:rsidR="003754C4" w:rsidRDefault="003754C4">
      <w:pPr>
        <w:spacing w:after="160" w:line="259" w:lineRule="auto"/>
        <w:rPr>
          <w:b/>
          <w:sz w:val="22"/>
        </w:rPr>
      </w:pPr>
      <w:r>
        <w:rPr>
          <w:b/>
        </w:rPr>
        <w:br w:type="page"/>
      </w:r>
    </w:p>
    <w:p w14:paraId="5C4D2231" w14:textId="30B4B56F" w:rsidR="00F032FF" w:rsidRPr="004F7E52" w:rsidRDefault="00F032FF" w:rsidP="00F032FF">
      <w:pPr>
        <w:pStyle w:val="Header"/>
        <w:rPr>
          <w:b/>
        </w:rPr>
      </w:pPr>
      <w:bookmarkStart w:id="0" w:name="_GoBack"/>
      <w:bookmarkEnd w:id="0"/>
      <w:r>
        <w:rPr>
          <w:b/>
        </w:rPr>
        <w:lastRenderedPageBreak/>
        <w:t>7digital</w:t>
      </w:r>
      <w:r w:rsidRPr="004F7E52">
        <w:rPr>
          <w:b/>
        </w:rPr>
        <w:t xml:space="preserve"> Group plc</w:t>
      </w:r>
    </w:p>
    <w:p w14:paraId="16258B91" w14:textId="77777777" w:rsidR="00F032FF" w:rsidRPr="00A676AA" w:rsidRDefault="00F032FF" w:rsidP="00F032FF">
      <w:pPr>
        <w:pStyle w:val="Header"/>
        <w:rPr>
          <w:b/>
        </w:rPr>
      </w:pPr>
      <w:r w:rsidRPr="00A676AA">
        <w:rPr>
          <w:b/>
        </w:rPr>
        <w:t xml:space="preserve">Chief Executive’s </w:t>
      </w:r>
      <w:r>
        <w:rPr>
          <w:b/>
        </w:rPr>
        <w:t>R</w:t>
      </w:r>
      <w:r w:rsidRPr="00A676AA">
        <w:rPr>
          <w:b/>
        </w:rPr>
        <w:t>eview</w:t>
      </w:r>
    </w:p>
    <w:p w14:paraId="576BEF2E" w14:textId="667CDABF" w:rsidR="00F63601" w:rsidRDefault="00F032FF" w:rsidP="004C0C8A">
      <w:pPr>
        <w:jc w:val="both"/>
        <w:rPr>
          <w:rFonts w:ascii="Calibri" w:hAnsi="Calibri"/>
          <w:color w:val="000000"/>
        </w:rPr>
      </w:pPr>
      <w:r>
        <w:rPr>
          <w:rFonts w:ascii="Calibri" w:hAnsi="Calibri"/>
          <w:color w:val="000000"/>
        </w:rPr>
        <w:br/>
      </w:r>
      <w:r w:rsidR="00F63601" w:rsidRPr="00F63601">
        <w:rPr>
          <w:rFonts w:ascii="Calibri" w:hAnsi="Calibri"/>
          <w:color w:val="000000"/>
        </w:rPr>
        <w:t xml:space="preserve">7digital is a B2B digital music and radio services company. The core of </w:t>
      </w:r>
      <w:r w:rsidR="00F63601">
        <w:rPr>
          <w:rFonts w:ascii="Calibri" w:hAnsi="Calibri"/>
          <w:color w:val="000000"/>
        </w:rPr>
        <w:t xml:space="preserve">our </w:t>
      </w:r>
      <w:r w:rsidR="00F63601" w:rsidRPr="00F63601">
        <w:rPr>
          <w:rFonts w:ascii="Calibri" w:hAnsi="Calibri"/>
          <w:color w:val="000000"/>
        </w:rPr>
        <w:t>business is the provision of robust and scalable technical infrastructure and extensive global music rights used to create music streaming and radio services for a diverse range of customers – including consumer brands, mobile carriers, broadcasters, automotive systems, record labels and retailers. 7digital also offers radio production and music curation services, editorial strategy an</w:t>
      </w:r>
      <w:r w:rsidR="00F63601">
        <w:rPr>
          <w:rFonts w:ascii="Calibri" w:hAnsi="Calibri"/>
          <w:color w:val="000000"/>
        </w:rPr>
        <w:t>d content management expertise.</w:t>
      </w:r>
    </w:p>
    <w:p w14:paraId="62C38CC1" w14:textId="77777777" w:rsidR="004C0C8A" w:rsidRPr="00337B48" w:rsidRDefault="004C0C8A" w:rsidP="004C0C8A">
      <w:pPr>
        <w:spacing w:after="0"/>
        <w:jc w:val="both"/>
        <w:rPr>
          <w:rFonts w:ascii="Calibri" w:hAnsi="Calibri"/>
          <w:color w:val="000000"/>
        </w:rPr>
      </w:pPr>
      <w:r w:rsidRPr="00337B48">
        <w:rPr>
          <w:rFonts w:ascii="Calibri" w:hAnsi="Calibri"/>
          <w:color w:val="000000"/>
        </w:rPr>
        <w:t>Our strategy is to grow revenues, profitability and shareholder returns through:</w:t>
      </w:r>
    </w:p>
    <w:p w14:paraId="02FBB3A4" w14:textId="77777777" w:rsidR="004C0C8A" w:rsidRPr="00337B48" w:rsidRDefault="004C0C8A" w:rsidP="004C0C8A">
      <w:pPr>
        <w:spacing w:after="0"/>
        <w:jc w:val="both"/>
        <w:rPr>
          <w:rFonts w:ascii="Calibri" w:hAnsi="Calibri"/>
          <w:color w:val="000000"/>
        </w:rPr>
      </w:pPr>
    </w:p>
    <w:p w14:paraId="0D2740CC" w14:textId="4B37DF12" w:rsidR="004C0C8A" w:rsidRPr="00337B48" w:rsidRDefault="004C0C8A" w:rsidP="004C0C8A">
      <w:pPr>
        <w:pStyle w:val="ListParagraph"/>
        <w:numPr>
          <w:ilvl w:val="0"/>
          <w:numId w:val="11"/>
        </w:numPr>
        <w:spacing w:after="0"/>
        <w:jc w:val="both"/>
        <w:rPr>
          <w:rFonts w:ascii="Calibri" w:hAnsi="Calibri"/>
          <w:color w:val="000000"/>
        </w:rPr>
      </w:pPr>
      <w:r w:rsidRPr="00337B48">
        <w:rPr>
          <w:rFonts w:ascii="Calibri" w:hAnsi="Calibri"/>
          <w:color w:val="000000"/>
        </w:rPr>
        <w:t xml:space="preserve">Increasing the number </w:t>
      </w:r>
      <w:r w:rsidR="00CD331F">
        <w:rPr>
          <w:rFonts w:ascii="Calibri" w:hAnsi="Calibri"/>
          <w:color w:val="000000"/>
        </w:rPr>
        <w:t xml:space="preserve">and quality </w:t>
      </w:r>
      <w:r w:rsidRPr="00337B48">
        <w:rPr>
          <w:rFonts w:ascii="Calibri" w:hAnsi="Calibri"/>
          <w:color w:val="000000"/>
        </w:rPr>
        <w:t>of customers we serve</w:t>
      </w:r>
    </w:p>
    <w:p w14:paraId="35ED77A7" w14:textId="79123994" w:rsidR="004C0C8A" w:rsidRPr="00337B48" w:rsidRDefault="004C0C8A" w:rsidP="004C0C8A">
      <w:pPr>
        <w:pStyle w:val="ListParagraph"/>
        <w:numPr>
          <w:ilvl w:val="0"/>
          <w:numId w:val="11"/>
        </w:numPr>
        <w:spacing w:after="0"/>
        <w:jc w:val="both"/>
        <w:rPr>
          <w:rFonts w:ascii="Calibri" w:hAnsi="Calibri"/>
          <w:color w:val="000000"/>
        </w:rPr>
      </w:pPr>
      <w:r w:rsidRPr="00337B48">
        <w:rPr>
          <w:rFonts w:ascii="Calibri" w:hAnsi="Calibri"/>
          <w:color w:val="000000"/>
        </w:rPr>
        <w:t xml:space="preserve">Improving the financial quality </w:t>
      </w:r>
      <w:r w:rsidR="00CD331F">
        <w:rPr>
          <w:rFonts w:ascii="Calibri" w:hAnsi="Calibri"/>
          <w:color w:val="000000"/>
        </w:rPr>
        <w:t xml:space="preserve">and predictability </w:t>
      </w:r>
      <w:r w:rsidRPr="00337B48">
        <w:rPr>
          <w:rFonts w:ascii="Calibri" w:hAnsi="Calibri"/>
          <w:color w:val="000000"/>
        </w:rPr>
        <w:t>of our business by driving recurring revenues</w:t>
      </w:r>
    </w:p>
    <w:p w14:paraId="72140C36" w14:textId="77777777" w:rsidR="004C0C8A" w:rsidRPr="00337B48" w:rsidRDefault="004C0C8A" w:rsidP="004C0C8A">
      <w:pPr>
        <w:pStyle w:val="ListParagraph"/>
        <w:numPr>
          <w:ilvl w:val="0"/>
          <w:numId w:val="11"/>
        </w:numPr>
        <w:spacing w:after="0"/>
        <w:jc w:val="both"/>
        <w:rPr>
          <w:rFonts w:ascii="Calibri" w:hAnsi="Calibri"/>
          <w:color w:val="000000"/>
        </w:rPr>
      </w:pPr>
      <w:r w:rsidRPr="00337B48">
        <w:rPr>
          <w:rFonts w:ascii="Calibri" w:hAnsi="Calibri"/>
          <w:color w:val="000000"/>
        </w:rPr>
        <w:t>Expanding our geographic coverage</w:t>
      </w:r>
    </w:p>
    <w:p w14:paraId="06255A46" w14:textId="77777777" w:rsidR="004C0C8A" w:rsidRPr="00337B48" w:rsidRDefault="004C0C8A" w:rsidP="004C0C8A">
      <w:pPr>
        <w:pStyle w:val="ListParagraph"/>
        <w:numPr>
          <w:ilvl w:val="0"/>
          <w:numId w:val="11"/>
        </w:numPr>
        <w:spacing w:after="0"/>
        <w:jc w:val="both"/>
        <w:rPr>
          <w:rFonts w:ascii="Calibri" w:hAnsi="Calibri"/>
          <w:color w:val="000000"/>
        </w:rPr>
      </w:pPr>
      <w:r w:rsidRPr="00337B48">
        <w:rPr>
          <w:rFonts w:ascii="Calibri" w:hAnsi="Calibri"/>
          <w:color w:val="000000"/>
        </w:rPr>
        <w:t>Continued investment in market leading technology to meet shifting technology trends and customer needs</w:t>
      </w:r>
    </w:p>
    <w:p w14:paraId="6204DD36" w14:textId="77777777" w:rsidR="004C0C8A" w:rsidRPr="00337B48" w:rsidRDefault="004C0C8A" w:rsidP="004C0C8A">
      <w:pPr>
        <w:pStyle w:val="ListParagraph"/>
        <w:numPr>
          <w:ilvl w:val="0"/>
          <w:numId w:val="11"/>
        </w:numPr>
        <w:spacing w:after="0"/>
        <w:jc w:val="both"/>
        <w:rPr>
          <w:rFonts w:ascii="Calibri" w:hAnsi="Calibri"/>
          <w:color w:val="000000"/>
        </w:rPr>
      </w:pPr>
      <w:r w:rsidRPr="00337B48">
        <w:rPr>
          <w:rFonts w:ascii="Calibri" w:hAnsi="Calibri"/>
          <w:color w:val="000000"/>
        </w:rPr>
        <w:t>Maintaining strict control of our cost base to ensure that revenue growth is quickly reflected in improved overall Group profitability</w:t>
      </w:r>
    </w:p>
    <w:p w14:paraId="6FA739C7" w14:textId="77777777" w:rsidR="004C0C8A" w:rsidRPr="00337B48" w:rsidRDefault="004C0C8A" w:rsidP="004C0C8A">
      <w:pPr>
        <w:spacing w:after="0"/>
        <w:jc w:val="both"/>
        <w:rPr>
          <w:rFonts w:ascii="Calibri" w:hAnsi="Calibri"/>
          <w:color w:val="000000"/>
        </w:rPr>
      </w:pPr>
    </w:p>
    <w:p w14:paraId="7D608D56" w14:textId="77777777" w:rsidR="004C0C8A" w:rsidRPr="00337B48" w:rsidRDefault="004C0C8A" w:rsidP="004C0C8A">
      <w:pPr>
        <w:spacing w:after="0"/>
        <w:jc w:val="both"/>
        <w:rPr>
          <w:rFonts w:ascii="Calibri" w:hAnsi="Calibri"/>
          <w:b/>
          <w:color w:val="000000"/>
        </w:rPr>
      </w:pPr>
      <w:r w:rsidRPr="00337B48">
        <w:rPr>
          <w:rFonts w:ascii="Calibri" w:hAnsi="Calibri"/>
          <w:b/>
          <w:color w:val="000000"/>
        </w:rPr>
        <w:t>Summary</w:t>
      </w:r>
    </w:p>
    <w:p w14:paraId="7C1B1ACB" w14:textId="77777777" w:rsidR="004C0C8A" w:rsidRPr="00337B48" w:rsidRDefault="004C0C8A" w:rsidP="004C0C8A">
      <w:pPr>
        <w:spacing w:after="0"/>
        <w:jc w:val="both"/>
        <w:rPr>
          <w:rFonts w:ascii="Calibri" w:hAnsi="Calibri"/>
          <w:color w:val="000000"/>
        </w:rPr>
      </w:pPr>
    </w:p>
    <w:p w14:paraId="36DFD602" w14:textId="4513AB99" w:rsidR="004C0C8A" w:rsidRPr="00337B48" w:rsidRDefault="004C0C8A" w:rsidP="004C0C8A">
      <w:pPr>
        <w:jc w:val="both"/>
        <w:rPr>
          <w:rFonts w:ascii="Calibri" w:hAnsi="Calibri"/>
          <w:color w:val="000000"/>
        </w:rPr>
      </w:pPr>
      <w:r w:rsidRPr="00337B48">
        <w:rPr>
          <w:rFonts w:ascii="Calibri" w:hAnsi="Calibri"/>
          <w:color w:val="000000"/>
        </w:rPr>
        <w:t xml:space="preserve">We have made </w:t>
      </w:r>
      <w:r w:rsidR="0091153C">
        <w:rPr>
          <w:rFonts w:ascii="Calibri" w:hAnsi="Calibri"/>
          <w:color w:val="000000"/>
        </w:rPr>
        <w:t xml:space="preserve">further </w:t>
      </w:r>
      <w:r w:rsidR="009408EA">
        <w:rPr>
          <w:rFonts w:ascii="Calibri" w:hAnsi="Calibri"/>
          <w:color w:val="000000"/>
        </w:rPr>
        <w:t xml:space="preserve">encouraging </w:t>
      </w:r>
      <w:r w:rsidRPr="00337B48">
        <w:rPr>
          <w:rFonts w:ascii="Calibri" w:hAnsi="Calibri"/>
          <w:color w:val="000000"/>
        </w:rPr>
        <w:t>progress in the first six months of this year, with growth coming from both new business and existing or prior customers to whom 7digital is providing additional services.</w:t>
      </w:r>
      <w:r w:rsidR="00986DC9">
        <w:rPr>
          <w:rFonts w:ascii="Calibri" w:hAnsi="Calibri"/>
          <w:color w:val="000000"/>
        </w:rPr>
        <w:t xml:space="preserve"> During the first half of the year we signed contracts</w:t>
      </w:r>
      <w:r w:rsidR="00986DC9" w:rsidRPr="00986DC9">
        <w:t xml:space="preserve"> </w:t>
      </w:r>
      <w:r w:rsidR="00986DC9" w:rsidRPr="00986DC9">
        <w:rPr>
          <w:rFonts w:ascii="Calibri" w:hAnsi="Calibri"/>
          <w:color w:val="000000"/>
        </w:rPr>
        <w:t>with a cumulative lifetime deal value of £4.7m, compared to £4.2m for the whole of 2015</w:t>
      </w:r>
      <w:r w:rsidR="00714F19">
        <w:rPr>
          <w:rFonts w:ascii="Calibri" w:hAnsi="Calibri"/>
          <w:color w:val="000000"/>
        </w:rPr>
        <w:t>.</w:t>
      </w:r>
      <w:r w:rsidR="00986DC9" w:rsidRPr="00986DC9">
        <w:rPr>
          <w:rFonts w:ascii="Calibri" w:hAnsi="Calibri"/>
          <w:color w:val="000000"/>
        </w:rPr>
        <w:t xml:space="preserve"> </w:t>
      </w:r>
      <w:r w:rsidR="00986DC9">
        <w:rPr>
          <w:rFonts w:ascii="Calibri" w:hAnsi="Calibri"/>
          <w:color w:val="000000"/>
        </w:rPr>
        <w:t xml:space="preserve"> </w:t>
      </w:r>
    </w:p>
    <w:p w14:paraId="4421D2BC" w14:textId="65316AEF" w:rsidR="0091153C" w:rsidRPr="00337B48" w:rsidRDefault="004C0C8A" w:rsidP="004C0C8A">
      <w:pPr>
        <w:jc w:val="both"/>
        <w:rPr>
          <w:rFonts w:ascii="Calibri" w:hAnsi="Calibri"/>
          <w:color w:val="000000"/>
        </w:rPr>
      </w:pPr>
      <w:r w:rsidRPr="00337B48">
        <w:rPr>
          <w:rFonts w:ascii="Calibri" w:hAnsi="Calibri"/>
          <w:color w:val="000000"/>
        </w:rPr>
        <w:t xml:space="preserve">We have continued to improve the </w:t>
      </w:r>
      <w:r w:rsidR="001C45B0" w:rsidRPr="00337B48">
        <w:rPr>
          <w:rFonts w:ascii="Calibri" w:hAnsi="Calibri"/>
          <w:color w:val="000000"/>
        </w:rPr>
        <w:t>quality</w:t>
      </w:r>
      <w:r w:rsidR="001C45B0">
        <w:rPr>
          <w:rFonts w:ascii="Calibri" w:hAnsi="Calibri"/>
          <w:color w:val="000000"/>
        </w:rPr>
        <w:t xml:space="preserve"> and mix </w:t>
      </w:r>
      <w:r w:rsidRPr="00337B48">
        <w:rPr>
          <w:rFonts w:ascii="Calibri" w:hAnsi="Calibri"/>
          <w:color w:val="000000"/>
        </w:rPr>
        <w:t xml:space="preserve">of our revenues, with total monthly recurring revenues (“MRR”) for the first half rising by </w:t>
      </w:r>
      <w:r w:rsidR="0091153C">
        <w:rPr>
          <w:rFonts w:ascii="Calibri" w:hAnsi="Calibri"/>
          <w:color w:val="000000"/>
        </w:rPr>
        <w:t>3</w:t>
      </w:r>
      <w:r w:rsidRPr="00337B48">
        <w:rPr>
          <w:rFonts w:ascii="Calibri" w:hAnsi="Calibri"/>
          <w:color w:val="000000"/>
        </w:rPr>
        <w:t xml:space="preserve">% against the comparative period last year. Improving sales momentum during the period saw the annualized exit MRR for the period rise by 10% and high-margin licensing revenues in June rose by 17% compared with 2015.  </w:t>
      </w:r>
      <w:r w:rsidR="009B54C2">
        <w:rPr>
          <w:rFonts w:ascii="Calibri" w:hAnsi="Calibri"/>
          <w:color w:val="000000"/>
        </w:rPr>
        <w:t>T</w:t>
      </w:r>
      <w:r w:rsidRPr="00337B48">
        <w:rPr>
          <w:rFonts w:ascii="Calibri" w:hAnsi="Calibri"/>
          <w:color w:val="000000"/>
        </w:rPr>
        <w:t xml:space="preserve">urnover </w:t>
      </w:r>
      <w:r w:rsidR="00093AF1">
        <w:rPr>
          <w:rFonts w:ascii="Calibri" w:hAnsi="Calibri"/>
          <w:color w:val="000000"/>
        </w:rPr>
        <w:t>was broadly unchanged at</w:t>
      </w:r>
      <w:r w:rsidR="00CD00CD">
        <w:rPr>
          <w:rFonts w:ascii="Calibri" w:hAnsi="Calibri"/>
          <w:color w:val="000000"/>
        </w:rPr>
        <w:t xml:space="preserve"> £5.2m (H1 2015 £5.1m)</w:t>
      </w:r>
      <w:r w:rsidR="009B54C2">
        <w:rPr>
          <w:rFonts w:ascii="Calibri" w:hAnsi="Calibri"/>
          <w:color w:val="000000"/>
        </w:rPr>
        <w:t>, in part reflecting</w:t>
      </w:r>
      <w:r w:rsidR="009B54C2" w:rsidRPr="009B54C2">
        <w:t xml:space="preserve"> </w:t>
      </w:r>
      <w:r w:rsidR="009B54C2" w:rsidRPr="009B54C2">
        <w:rPr>
          <w:rFonts w:ascii="Calibri" w:hAnsi="Calibri"/>
          <w:color w:val="000000"/>
        </w:rPr>
        <w:t>the inclusion in the comparable period last year of termination payments from the legacy BlackBerry contract</w:t>
      </w:r>
      <w:r w:rsidRPr="00337B48">
        <w:rPr>
          <w:rFonts w:ascii="Calibri" w:hAnsi="Calibri"/>
          <w:color w:val="000000"/>
        </w:rPr>
        <w:t>.</w:t>
      </w:r>
      <w:r w:rsidR="0091153C">
        <w:rPr>
          <w:rFonts w:ascii="Calibri" w:hAnsi="Calibri"/>
          <w:color w:val="000000"/>
        </w:rPr>
        <w:t xml:space="preserve">  </w:t>
      </w:r>
      <w:r w:rsidR="001C45B0">
        <w:rPr>
          <w:rFonts w:ascii="Calibri" w:hAnsi="Calibri"/>
          <w:color w:val="000000"/>
        </w:rPr>
        <w:t xml:space="preserve">Performance in the second quarter was significantly stronger that the first quarter and revenues have continued to build post the period end. </w:t>
      </w:r>
    </w:p>
    <w:p w14:paraId="609E3F20" w14:textId="539802F7" w:rsidR="004C0C8A" w:rsidRPr="00337B48" w:rsidRDefault="00595BE4" w:rsidP="004C0C8A">
      <w:pPr>
        <w:jc w:val="both"/>
        <w:rPr>
          <w:rFonts w:ascii="Calibri" w:hAnsi="Calibri"/>
          <w:color w:val="000000"/>
        </w:rPr>
      </w:pPr>
      <w:r>
        <w:rPr>
          <w:rFonts w:ascii="Calibri" w:hAnsi="Calibri"/>
          <w:color w:val="000000"/>
        </w:rPr>
        <w:t>Primarily reflecting bad debt provision</w:t>
      </w:r>
      <w:r w:rsidR="00C44D90">
        <w:rPr>
          <w:rFonts w:ascii="Calibri" w:hAnsi="Calibri"/>
          <w:color w:val="000000"/>
        </w:rPr>
        <w:t xml:space="preserve">s, </w:t>
      </w:r>
      <w:r>
        <w:rPr>
          <w:rFonts w:ascii="Calibri" w:hAnsi="Calibri"/>
          <w:color w:val="000000"/>
        </w:rPr>
        <w:t xml:space="preserve">our move to </w:t>
      </w:r>
      <w:r w:rsidR="00B30676">
        <w:rPr>
          <w:rFonts w:ascii="Calibri" w:hAnsi="Calibri"/>
          <w:color w:val="000000"/>
        </w:rPr>
        <w:t xml:space="preserve">cloud based </w:t>
      </w:r>
      <w:r w:rsidR="002E500A">
        <w:rPr>
          <w:rFonts w:ascii="Calibri" w:hAnsi="Calibri"/>
          <w:color w:val="000000"/>
        </w:rPr>
        <w:t xml:space="preserve">IT </w:t>
      </w:r>
      <w:r w:rsidR="00B30676">
        <w:rPr>
          <w:rFonts w:ascii="Calibri" w:hAnsi="Calibri"/>
          <w:color w:val="000000"/>
        </w:rPr>
        <w:t>system</w:t>
      </w:r>
      <w:r>
        <w:rPr>
          <w:rFonts w:ascii="Calibri" w:hAnsi="Calibri"/>
          <w:color w:val="000000"/>
        </w:rPr>
        <w:t xml:space="preserve"> </w:t>
      </w:r>
      <w:r w:rsidR="00C44D90">
        <w:rPr>
          <w:rFonts w:ascii="Calibri" w:hAnsi="Calibri"/>
          <w:color w:val="000000"/>
        </w:rPr>
        <w:t xml:space="preserve">and </w:t>
      </w:r>
      <w:r w:rsidR="00714F19">
        <w:rPr>
          <w:rFonts w:ascii="Calibri" w:hAnsi="Calibri"/>
          <w:color w:val="000000"/>
        </w:rPr>
        <w:t xml:space="preserve">the </w:t>
      </w:r>
      <w:r w:rsidR="00C44D90">
        <w:rPr>
          <w:rFonts w:ascii="Calibri" w:hAnsi="Calibri"/>
          <w:color w:val="000000"/>
        </w:rPr>
        <w:t xml:space="preserve">timing </w:t>
      </w:r>
      <w:r w:rsidR="00714F19">
        <w:rPr>
          <w:rFonts w:ascii="Calibri" w:hAnsi="Calibri"/>
          <w:color w:val="000000"/>
        </w:rPr>
        <w:t xml:space="preserve">of </w:t>
      </w:r>
      <w:r w:rsidR="00C44D90">
        <w:rPr>
          <w:rFonts w:ascii="Calibri" w:hAnsi="Calibri"/>
          <w:color w:val="000000"/>
        </w:rPr>
        <w:t>our R&amp;D tax credit,</w:t>
      </w:r>
      <w:r w:rsidR="00C44D90" w:rsidRPr="00337B48">
        <w:rPr>
          <w:rFonts w:ascii="Calibri" w:hAnsi="Calibri"/>
          <w:color w:val="000000"/>
        </w:rPr>
        <w:t xml:space="preserve"> </w:t>
      </w:r>
      <w:r w:rsidR="004C0C8A" w:rsidRPr="00337B48">
        <w:rPr>
          <w:rFonts w:ascii="Calibri" w:hAnsi="Calibri"/>
          <w:color w:val="000000"/>
        </w:rPr>
        <w:t xml:space="preserve">adjusted LBITDA </w:t>
      </w:r>
      <w:r w:rsidR="00BC3A05">
        <w:rPr>
          <w:rFonts w:ascii="Calibri" w:hAnsi="Calibri"/>
          <w:color w:val="000000"/>
        </w:rPr>
        <w:t xml:space="preserve">increased </w:t>
      </w:r>
      <w:r w:rsidR="004C0C8A" w:rsidRPr="00337B48">
        <w:rPr>
          <w:rFonts w:ascii="Calibri" w:hAnsi="Calibri"/>
          <w:color w:val="000000"/>
        </w:rPr>
        <w:t xml:space="preserve">to </w:t>
      </w:r>
      <w:r w:rsidR="004C0C8A" w:rsidRPr="00FA221F">
        <w:rPr>
          <w:rFonts w:ascii="Calibri" w:hAnsi="Calibri"/>
          <w:color w:val="000000"/>
        </w:rPr>
        <w:t>£</w:t>
      </w:r>
      <w:r w:rsidR="00525233" w:rsidRPr="00FA221F">
        <w:rPr>
          <w:rFonts w:ascii="Calibri" w:hAnsi="Calibri"/>
          <w:color w:val="000000"/>
        </w:rPr>
        <w:t>2</w:t>
      </w:r>
      <w:r w:rsidR="004C0C8A" w:rsidRPr="00FA221F">
        <w:rPr>
          <w:rFonts w:ascii="Calibri" w:hAnsi="Calibri"/>
          <w:color w:val="000000"/>
        </w:rPr>
        <w:t>.</w:t>
      </w:r>
      <w:r w:rsidR="0091153C" w:rsidRPr="00FA221F">
        <w:rPr>
          <w:rFonts w:ascii="Calibri" w:hAnsi="Calibri"/>
          <w:color w:val="000000"/>
        </w:rPr>
        <w:t>8</w:t>
      </w:r>
      <w:r w:rsidR="004C0C8A" w:rsidRPr="00FA221F">
        <w:rPr>
          <w:rFonts w:ascii="Calibri" w:hAnsi="Calibri"/>
          <w:color w:val="000000"/>
        </w:rPr>
        <w:t>m</w:t>
      </w:r>
      <w:r w:rsidR="004C0C8A" w:rsidRPr="00DB3070">
        <w:rPr>
          <w:rFonts w:ascii="Calibri" w:hAnsi="Calibri"/>
          <w:color w:val="000000"/>
        </w:rPr>
        <w:t xml:space="preserve"> (2015: £</w:t>
      </w:r>
      <w:r w:rsidR="00525233" w:rsidRPr="00FA221F">
        <w:rPr>
          <w:rFonts w:ascii="Calibri" w:hAnsi="Calibri"/>
          <w:color w:val="000000"/>
        </w:rPr>
        <w:t>1</w:t>
      </w:r>
      <w:r w:rsidR="004C0C8A" w:rsidRPr="00FA221F">
        <w:rPr>
          <w:rFonts w:ascii="Calibri" w:hAnsi="Calibri"/>
          <w:color w:val="000000"/>
        </w:rPr>
        <w:t>.</w:t>
      </w:r>
      <w:r w:rsidR="00525233" w:rsidRPr="00FA221F">
        <w:rPr>
          <w:rFonts w:ascii="Calibri" w:hAnsi="Calibri"/>
          <w:color w:val="000000"/>
        </w:rPr>
        <w:t>3</w:t>
      </w:r>
      <w:r w:rsidR="004C0C8A" w:rsidRPr="00FA221F">
        <w:rPr>
          <w:rFonts w:ascii="Calibri" w:hAnsi="Calibri"/>
          <w:color w:val="000000"/>
        </w:rPr>
        <w:t>m</w:t>
      </w:r>
      <w:r w:rsidR="004C0C8A" w:rsidRPr="00DB3070">
        <w:rPr>
          <w:rFonts w:ascii="Calibri" w:hAnsi="Calibri"/>
          <w:color w:val="000000"/>
        </w:rPr>
        <w:t>).</w:t>
      </w:r>
      <w:r w:rsidR="004C0C8A" w:rsidRPr="00337B48">
        <w:rPr>
          <w:rFonts w:ascii="Calibri" w:hAnsi="Calibri"/>
          <w:color w:val="000000"/>
        </w:rPr>
        <w:t xml:space="preserve"> We have focussed strongly on our cost base during the period and by the close of the year we anticipate that we will have achieved annualised cost savings of £1m, including the previously indicated £</w:t>
      </w:r>
      <w:proofErr w:type="gramStart"/>
      <w:r w:rsidR="004C0C8A" w:rsidRPr="00337B48">
        <w:rPr>
          <w:rFonts w:ascii="Calibri" w:hAnsi="Calibri"/>
          <w:color w:val="000000"/>
        </w:rPr>
        <w:t>0.5</w:t>
      </w:r>
      <w:r w:rsidR="000E4F41">
        <w:rPr>
          <w:rFonts w:ascii="Calibri" w:hAnsi="Calibri"/>
          <w:color w:val="000000"/>
        </w:rPr>
        <w:t>m</w:t>
      </w:r>
      <w:r w:rsidR="004C0C8A" w:rsidRPr="00337B48">
        <w:rPr>
          <w:rFonts w:ascii="Calibri" w:hAnsi="Calibri"/>
          <w:color w:val="000000"/>
        </w:rPr>
        <w:t xml:space="preserve">  overhead</w:t>
      </w:r>
      <w:proofErr w:type="gramEnd"/>
      <w:r w:rsidR="004C0C8A" w:rsidRPr="00337B48">
        <w:rPr>
          <w:rFonts w:ascii="Calibri" w:hAnsi="Calibri"/>
          <w:color w:val="000000"/>
        </w:rPr>
        <w:t xml:space="preserve"> synergies from the Snowite acquisition</w:t>
      </w:r>
      <w:r w:rsidR="0091153C">
        <w:rPr>
          <w:rFonts w:ascii="Calibri" w:hAnsi="Calibri"/>
          <w:color w:val="000000"/>
        </w:rPr>
        <w:t xml:space="preserve">; of these annualised savings, approximately £300,000 will benefit the second half of </w:t>
      </w:r>
      <w:r w:rsidR="00093AF1">
        <w:rPr>
          <w:rFonts w:ascii="Calibri" w:hAnsi="Calibri"/>
          <w:color w:val="000000"/>
        </w:rPr>
        <w:t>2016</w:t>
      </w:r>
      <w:r w:rsidR="0091153C">
        <w:rPr>
          <w:rFonts w:ascii="Calibri" w:hAnsi="Calibri"/>
          <w:color w:val="000000"/>
        </w:rPr>
        <w:t xml:space="preserve">. </w:t>
      </w:r>
      <w:r w:rsidR="004C0C8A" w:rsidRPr="00337B48">
        <w:rPr>
          <w:rFonts w:ascii="Calibri" w:hAnsi="Calibri"/>
          <w:color w:val="000000"/>
        </w:rPr>
        <w:t xml:space="preserve">       </w:t>
      </w:r>
    </w:p>
    <w:p w14:paraId="31E89DBF" w14:textId="098A7E5B" w:rsidR="0091153C" w:rsidRDefault="0091153C" w:rsidP="004C0C8A">
      <w:pPr>
        <w:jc w:val="both"/>
        <w:rPr>
          <w:rFonts w:ascii="Calibri" w:hAnsi="Calibri"/>
          <w:color w:val="000000"/>
        </w:rPr>
      </w:pPr>
      <w:r>
        <w:rPr>
          <w:rFonts w:ascii="Calibri" w:hAnsi="Calibri"/>
          <w:color w:val="000000"/>
        </w:rPr>
        <w:t>As previously highlighted, in June this year Guvera</w:t>
      </w:r>
      <w:r w:rsidR="003333F5">
        <w:rPr>
          <w:rFonts w:ascii="Calibri" w:hAnsi="Calibri"/>
          <w:color w:val="000000"/>
        </w:rPr>
        <w:t>, a customer of 7digital,</w:t>
      </w:r>
      <w:r>
        <w:rPr>
          <w:rFonts w:ascii="Calibri" w:hAnsi="Calibri"/>
          <w:color w:val="000000"/>
        </w:rPr>
        <w:t xml:space="preserve"> announced a group restructure and </w:t>
      </w:r>
      <w:r w:rsidR="003333F5">
        <w:rPr>
          <w:rFonts w:ascii="Calibri" w:hAnsi="Calibri"/>
          <w:color w:val="000000"/>
        </w:rPr>
        <w:t xml:space="preserve">put one of its subsidiaries into administration. Prior to the administration, we worked with Guvera to restructure the debt owed to the Company within the Guvera group and to agree a repayment plan.  </w:t>
      </w:r>
      <w:r w:rsidR="00A81FB8">
        <w:rPr>
          <w:rFonts w:ascii="Calibri" w:hAnsi="Calibri"/>
          <w:color w:val="000000"/>
        </w:rPr>
        <w:t>W</w:t>
      </w:r>
      <w:r w:rsidR="003333F5">
        <w:rPr>
          <w:rFonts w:ascii="Calibri" w:hAnsi="Calibri"/>
          <w:color w:val="000000"/>
        </w:rPr>
        <w:t xml:space="preserve">e have received some monies under this plan, </w:t>
      </w:r>
      <w:r w:rsidR="00A81FB8">
        <w:rPr>
          <w:rFonts w:ascii="Calibri" w:hAnsi="Calibri"/>
          <w:color w:val="000000"/>
        </w:rPr>
        <w:t>but</w:t>
      </w:r>
      <w:r w:rsidR="00D757AE">
        <w:rPr>
          <w:rFonts w:ascii="Calibri" w:hAnsi="Calibri"/>
          <w:color w:val="000000"/>
        </w:rPr>
        <w:t>, after careful consideration and extensive negotiation with Guvera,</w:t>
      </w:r>
      <w:r w:rsidR="00A81FB8">
        <w:rPr>
          <w:rFonts w:ascii="Calibri" w:hAnsi="Calibri"/>
          <w:color w:val="000000"/>
        </w:rPr>
        <w:t xml:space="preserve"> </w:t>
      </w:r>
      <w:r w:rsidR="003333F5">
        <w:rPr>
          <w:rFonts w:ascii="Calibri" w:hAnsi="Calibri"/>
          <w:color w:val="000000"/>
        </w:rPr>
        <w:t>we believe that receipt of further payments is now in doubt and have therefore made a provision against the full outstanding balance of £7</w:t>
      </w:r>
      <w:r w:rsidR="00E60E55">
        <w:rPr>
          <w:rFonts w:ascii="Calibri" w:hAnsi="Calibri"/>
          <w:color w:val="000000"/>
        </w:rPr>
        <w:t>3</w:t>
      </w:r>
      <w:r w:rsidR="003333F5">
        <w:rPr>
          <w:rFonts w:ascii="Calibri" w:hAnsi="Calibri"/>
          <w:color w:val="000000"/>
        </w:rPr>
        <w:t xml:space="preserve">3,000. While </w:t>
      </w:r>
      <w:r w:rsidR="000402BC">
        <w:rPr>
          <w:rFonts w:ascii="Calibri" w:hAnsi="Calibri"/>
          <w:color w:val="000000"/>
        </w:rPr>
        <w:t xml:space="preserve">this </w:t>
      </w:r>
      <w:r w:rsidR="003333F5">
        <w:rPr>
          <w:rFonts w:ascii="Calibri" w:hAnsi="Calibri"/>
          <w:color w:val="000000"/>
        </w:rPr>
        <w:t xml:space="preserve">is clearly very disappointing, it does not undermine our strategy going forward </w:t>
      </w:r>
      <w:r w:rsidR="006F6177">
        <w:rPr>
          <w:rFonts w:ascii="Calibri" w:hAnsi="Calibri"/>
          <w:color w:val="000000"/>
        </w:rPr>
        <w:t xml:space="preserve">or our commitment to achieving profitability by this year end, </w:t>
      </w:r>
      <w:r w:rsidR="003333F5">
        <w:rPr>
          <w:rFonts w:ascii="Calibri" w:hAnsi="Calibri"/>
          <w:color w:val="000000"/>
        </w:rPr>
        <w:t xml:space="preserve">and highlights the importance of our deliberate strengthening of the quality of our client base going forward.               </w:t>
      </w:r>
      <w:r>
        <w:rPr>
          <w:rFonts w:ascii="Calibri" w:hAnsi="Calibri"/>
          <w:color w:val="000000"/>
        </w:rPr>
        <w:t xml:space="preserve">    </w:t>
      </w:r>
    </w:p>
    <w:p w14:paraId="43F86A2D" w14:textId="09B69DA4" w:rsidR="004C0C8A" w:rsidRPr="00337B48" w:rsidRDefault="004C0C8A" w:rsidP="004C0C8A">
      <w:pPr>
        <w:jc w:val="both"/>
        <w:rPr>
          <w:rFonts w:ascii="Calibri" w:hAnsi="Calibri"/>
          <w:color w:val="000000"/>
        </w:rPr>
      </w:pPr>
      <w:r w:rsidRPr="00337B48">
        <w:rPr>
          <w:rFonts w:ascii="Calibri" w:hAnsi="Calibri"/>
          <w:color w:val="000000"/>
        </w:rPr>
        <w:t>We were delighted in April to complete the acquisition of Snowite, the leading French digital streaming music provider. Snowite, now renamed 7digital France, brought contracted annualised monthly recurring revenues on acquisition of over £0.85</w:t>
      </w:r>
      <w:r w:rsidR="00B742D1">
        <w:rPr>
          <w:rFonts w:ascii="Calibri" w:hAnsi="Calibri"/>
          <w:color w:val="000000"/>
        </w:rPr>
        <w:t>m</w:t>
      </w:r>
      <w:r w:rsidRPr="00337B48">
        <w:rPr>
          <w:rFonts w:ascii="Calibri" w:hAnsi="Calibri"/>
          <w:color w:val="000000"/>
        </w:rPr>
        <w:t>, major French clients across the retail, mobile entertainment and media sectors</w:t>
      </w:r>
      <w:r w:rsidR="00B74658">
        <w:rPr>
          <w:rFonts w:ascii="Calibri" w:hAnsi="Calibri"/>
          <w:color w:val="000000"/>
        </w:rPr>
        <w:t xml:space="preserve"> </w:t>
      </w:r>
      <w:r w:rsidRPr="00337B48">
        <w:rPr>
          <w:rFonts w:ascii="Calibri" w:hAnsi="Calibri"/>
          <w:color w:val="000000"/>
        </w:rPr>
        <w:t xml:space="preserve">and a strong technology and platform. The integration of Snowite has progressed well and the acquisition accelerates 7digital’s international expansion and path to profitability.    </w:t>
      </w:r>
    </w:p>
    <w:p w14:paraId="2C0E0642" w14:textId="31DCDCED" w:rsidR="004C0C8A" w:rsidRPr="00337B48" w:rsidRDefault="004C0C8A" w:rsidP="004C0C8A">
      <w:pPr>
        <w:spacing w:after="160" w:line="259" w:lineRule="auto"/>
        <w:jc w:val="both"/>
        <w:rPr>
          <w:rFonts w:ascii="Calibri" w:hAnsi="Calibri"/>
          <w:color w:val="000000"/>
        </w:rPr>
      </w:pPr>
      <w:r w:rsidRPr="00337B48">
        <w:rPr>
          <w:rFonts w:ascii="Calibri" w:hAnsi="Calibri"/>
          <w:color w:val="000000"/>
        </w:rPr>
        <w:t xml:space="preserve">The first half of 2016 has seen several key developments in the global digital music market, which includes the closure of Omnifone, one of our </w:t>
      </w:r>
      <w:r w:rsidR="00D757AE">
        <w:rPr>
          <w:rFonts w:ascii="Calibri" w:hAnsi="Calibri"/>
          <w:color w:val="000000"/>
        </w:rPr>
        <w:t xml:space="preserve">key </w:t>
      </w:r>
      <w:r w:rsidRPr="00337B48">
        <w:rPr>
          <w:rFonts w:ascii="Calibri" w:hAnsi="Calibri"/>
          <w:color w:val="000000"/>
        </w:rPr>
        <w:t xml:space="preserve">competitors. This, in addition to our market leading technology, broad music rights and deep industry relationships, has further strengthened 7digital’s position within our marketplace and the barriers to entry for others who may wish to enter it. We are increasingly well placed as the supplier of choice to enable a growing number of current and potential customers who are looking to strengthen their consumer offer by delivering music and radio streaming services.  </w:t>
      </w:r>
      <w:r w:rsidRPr="00337B48">
        <w:rPr>
          <w:rFonts w:ascii="Calibri" w:hAnsi="Calibri"/>
          <w:color w:val="000000"/>
        </w:rPr>
        <w:br w:type="page"/>
      </w:r>
    </w:p>
    <w:p w14:paraId="3112D783" w14:textId="77777777" w:rsidR="004C0C8A" w:rsidRPr="00337B48" w:rsidRDefault="004C0C8A" w:rsidP="004C0C8A">
      <w:pPr>
        <w:jc w:val="both"/>
        <w:rPr>
          <w:rFonts w:ascii="Calibri" w:hAnsi="Calibri"/>
          <w:b/>
          <w:color w:val="000000"/>
        </w:rPr>
      </w:pPr>
      <w:r w:rsidRPr="00337B48">
        <w:rPr>
          <w:rFonts w:ascii="Calibri" w:hAnsi="Calibri"/>
          <w:b/>
          <w:color w:val="000000"/>
        </w:rPr>
        <w:lastRenderedPageBreak/>
        <w:t>Licensing</w:t>
      </w:r>
    </w:p>
    <w:p w14:paraId="3AE285A5" w14:textId="74763F1A" w:rsidR="004C0C8A" w:rsidRPr="00337B48" w:rsidRDefault="004C0C8A" w:rsidP="004C0C8A">
      <w:pPr>
        <w:jc w:val="both"/>
        <w:rPr>
          <w:rFonts w:ascii="Calibri" w:hAnsi="Calibri"/>
          <w:color w:val="000000"/>
        </w:rPr>
      </w:pPr>
      <w:r w:rsidRPr="00337B48">
        <w:rPr>
          <w:rFonts w:ascii="Calibri" w:hAnsi="Calibri"/>
          <w:color w:val="000000"/>
        </w:rPr>
        <w:t xml:space="preserve">Licensing is the core of our business, providing the platform and rights management expertise through which our </w:t>
      </w:r>
      <w:r w:rsidR="00D757AE">
        <w:rPr>
          <w:rFonts w:ascii="Calibri" w:hAnsi="Calibri"/>
          <w:color w:val="000000"/>
        </w:rPr>
        <w:t>B2B</w:t>
      </w:r>
      <w:r w:rsidRPr="00337B48">
        <w:rPr>
          <w:rFonts w:ascii="Calibri" w:hAnsi="Calibri"/>
          <w:color w:val="000000"/>
        </w:rPr>
        <w:t xml:space="preserve"> customers can create their own streamed music services offerings, either standalone or bundled into their own device or product offering. Typically, customers pay an initial set-up fee and then a fixed monthly licence fee for using our platform; in addition, we may also take a share of user related revenues generated by the service, including transaction and subscription revenues.     </w:t>
      </w:r>
    </w:p>
    <w:p w14:paraId="1F2DE89B" w14:textId="70FB4B1A" w:rsidR="004C0C8A" w:rsidRPr="00337B48" w:rsidRDefault="00552054" w:rsidP="004C0C8A">
      <w:pPr>
        <w:jc w:val="both"/>
        <w:rPr>
          <w:rFonts w:ascii="Calibri" w:hAnsi="Calibri"/>
          <w:color w:val="000000"/>
        </w:rPr>
      </w:pPr>
      <w:r w:rsidRPr="00337B48">
        <w:rPr>
          <w:rFonts w:ascii="Calibri" w:hAnsi="Calibri"/>
          <w:color w:val="000000"/>
        </w:rPr>
        <w:t>Licensing</w:t>
      </w:r>
      <w:r>
        <w:rPr>
          <w:rFonts w:ascii="Calibri" w:hAnsi="Calibri"/>
          <w:color w:val="000000"/>
        </w:rPr>
        <w:t xml:space="preserve"> revenues </w:t>
      </w:r>
      <w:r w:rsidR="007A237D">
        <w:rPr>
          <w:rFonts w:ascii="Calibri" w:hAnsi="Calibri"/>
          <w:color w:val="000000"/>
        </w:rPr>
        <w:t xml:space="preserve">were broadly flat </w:t>
      </w:r>
      <w:r w:rsidR="007A237D" w:rsidRPr="00DB3070">
        <w:rPr>
          <w:rFonts w:ascii="Calibri" w:hAnsi="Calibri"/>
          <w:color w:val="000000"/>
        </w:rPr>
        <w:t>at</w:t>
      </w:r>
      <w:r w:rsidR="00264A17" w:rsidRPr="00744F62">
        <w:rPr>
          <w:rFonts w:ascii="Calibri" w:hAnsi="Calibri"/>
          <w:color w:val="000000"/>
        </w:rPr>
        <w:t xml:space="preserve"> </w:t>
      </w:r>
      <w:r w:rsidR="004C0C8A" w:rsidRPr="00FA221F">
        <w:rPr>
          <w:rFonts w:ascii="Calibri" w:hAnsi="Calibri"/>
          <w:color w:val="000000"/>
        </w:rPr>
        <w:t>£</w:t>
      </w:r>
      <w:r w:rsidR="00525233" w:rsidRPr="00FA221F">
        <w:rPr>
          <w:rFonts w:ascii="Calibri" w:hAnsi="Calibri"/>
          <w:color w:val="000000"/>
        </w:rPr>
        <w:t>3</w:t>
      </w:r>
      <w:r w:rsidR="004C0C8A" w:rsidRPr="00FA221F">
        <w:rPr>
          <w:rFonts w:ascii="Calibri" w:hAnsi="Calibri"/>
          <w:color w:val="000000"/>
        </w:rPr>
        <w:t>.</w:t>
      </w:r>
      <w:r w:rsidR="00525233" w:rsidRPr="00FA221F">
        <w:rPr>
          <w:rFonts w:ascii="Calibri" w:hAnsi="Calibri"/>
          <w:color w:val="000000"/>
        </w:rPr>
        <w:t>0</w:t>
      </w:r>
      <w:r w:rsidR="004C0C8A" w:rsidRPr="00FA221F">
        <w:rPr>
          <w:rFonts w:ascii="Calibri" w:hAnsi="Calibri"/>
          <w:color w:val="000000"/>
        </w:rPr>
        <w:t>m</w:t>
      </w:r>
      <w:r w:rsidR="004C0C8A" w:rsidRPr="00DB3070">
        <w:rPr>
          <w:rFonts w:ascii="Calibri" w:hAnsi="Calibri"/>
          <w:color w:val="000000"/>
        </w:rPr>
        <w:t xml:space="preserve"> (2015: </w:t>
      </w:r>
      <w:r w:rsidR="004C0C8A" w:rsidRPr="00FA221F">
        <w:rPr>
          <w:rFonts w:ascii="Calibri" w:hAnsi="Calibri"/>
          <w:color w:val="000000"/>
        </w:rPr>
        <w:t>£</w:t>
      </w:r>
      <w:r w:rsidR="00525233" w:rsidRPr="00FA221F">
        <w:rPr>
          <w:rFonts w:ascii="Calibri" w:hAnsi="Calibri"/>
          <w:color w:val="000000"/>
        </w:rPr>
        <w:t>3</w:t>
      </w:r>
      <w:r w:rsidR="004C0C8A" w:rsidRPr="00FA221F">
        <w:rPr>
          <w:rFonts w:ascii="Calibri" w:hAnsi="Calibri"/>
          <w:color w:val="000000"/>
        </w:rPr>
        <w:t>.</w:t>
      </w:r>
      <w:r w:rsidR="00525233" w:rsidRPr="00FA221F">
        <w:rPr>
          <w:rFonts w:ascii="Calibri" w:hAnsi="Calibri"/>
          <w:color w:val="000000"/>
        </w:rPr>
        <w:t>1</w:t>
      </w:r>
      <w:r w:rsidR="004C0C8A" w:rsidRPr="00FA221F">
        <w:rPr>
          <w:rFonts w:ascii="Calibri" w:hAnsi="Calibri"/>
          <w:color w:val="000000"/>
        </w:rPr>
        <w:t>m</w:t>
      </w:r>
      <w:r w:rsidR="004C0C8A" w:rsidRPr="00DB3070">
        <w:rPr>
          <w:rFonts w:ascii="Calibri" w:hAnsi="Calibri"/>
          <w:color w:val="000000"/>
        </w:rPr>
        <w:t>)</w:t>
      </w:r>
      <w:r w:rsidR="007A237D" w:rsidRPr="00744F62">
        <w:rPr>
          <w:rFonts w:ascii="Calibri" w:hAnsi="Calibri"/>
          <w:color w:val="000000"/>
        </w:rPr>
        <w:t>.</w:t>
      </w:r>
      <w:r w:rsidR="007A237D">
        <w:rPr>
          <w:rFonts w:ascii="Calibri" w:hAnsi="Calibri"/>
          <w:color w:val="000000"/>
        </w:rPr>
        <w:t xml:space="preserve"> Excluding Guvera, </w:t>
      </w:r>
      <w:r w:rsidR="003B5270">
        <w:rPr>
          <w:rFonts w:ascii="Calibri" w:hAnsi="Calibri"/>
          <w:color w:val="000000"/>
        </w:rPr>
        <w:t>against whose revenue we have now made a full provision</w:t>
      </w:r>
      <w:r w:rsidR="003B5270" w:rsidDel="003B5270">
        <w:rPr>
          <w:rFonts w:ascii="Calibri" w:hAnsi="Calibri"/>
          <w:color w:val="000000"/>
        </w:rPr>
        <w:t xml:space="preserve"> </w:t>
      </w:r>
      <w:r w:rsidR="007A237D">
        <w:rPr>
          <w:rFonts w:ascii="Calibri" w:hAnsi="Calibri"/>
          <w:color w:val="000000"/>
        </w:rPr>
        <w:t xml:space="preserve">given its </w:t>
      </w:r>
      <w:r w:rsidR="00D757AE">
        <w:rPr>
          <w:rFonts w:ascii="Calibri" w:hAnsi="Calibri"/>
          <w:color w:val="000000"/>
        </w:rPr>
        <w:t>non-payment of outstanding fees</w:t>
      </w:r>
      <w:r w:rsidR="007A237D">
        <w:rPr>
          <w:rFonts w:ascii="Calibri" w:hAnsi="Calibri"/>
          <w:color w:val="000000"/>
        </w:rPr>
        <w:t xml:space="preserve">, </w:t>
      </w:r>
      <w:r w:rsidR="004748CE">
        <w:rPr>
          <w:rFonts w:ascii="Calibri" w:hAnsi="Calibri"/>
          <w:color w:val="000000"/>
        </w:rPr>
        <w:t>and the Black</w:t>
      </w:r>
      <w:r w:rsidR="007E7064">
        <w:rPr>
          <w:rFonts w:ascii="Calibri" w:hAnsi="Calibri"/>
          <w:color w:val="000000"/>
        </w:rPr>
        <w:t>B</w:t>
      </w:r>
      <w:r w:rsidR="004748CE">
        <w:rPr>
          <w:rFonts w:ascii="Calibri" w:hAnsi="Calibri"/>
          <w:color w:val="000000"/>
        </w:rPr>
        <w:t xml:space="preserve">erry termination payment in 2015, </w:t>
      </w:r>
      <w:r w:rsidR="007A237D">
        <w:rPr>
          <w:rFonts w:ascii="Calibri" w:hAnsi="Calibri"/>
          <w:color w:val="000000"/>
        </w:rPr>
        <w:t>licensing revenues grew by 1</w:t>
      </w:r>
      <w:r w:rsidR="004748CE">
        <w:rPr>
          <w:rFonts w:ascii="Calibri" w:hAnsi="Calibri"/>
          <w:color w:val="000000"/>
        </w:rPr>
        <w:t>3</w:t>
      </w:r>
      <w:r w:rsidR="007A237D">
        <w:rPr>
          <w:rFonts w:ascii="Calibri" w:hAnsi="Calibri"/>
          <w:color w:val="000000"/>
        </w:rPr>
        <w:t xml:space="preserve">% against the first half last year.    </w:t>
      </w:r>
    </w:p>
    <w:p w14:paraId="3F4137BC" w14:textId="2E1A5B7A" w:rsidR="004C0C8A" w:rsidRPr="00337B48" w:rsidRDefault="00C40970" w:rsidP="004C0C8A">
      <w:pPr>
        <w:jc w:val="both"/>
        <w:rPr>
          <w:rFonts w:ascii="Calibri" w:hAnsi="Calibri"/>
          <w:color w:val="000000"/>
        </w:rPr>
      </w:pPr>
      <w:r>
        <w:rPr>
          <w:rFonts w:ascii="Calibri" w:hAnsi="Calibri"/>
          <w:color w:val="000000"/>
        </w:rPr>
        <w:t>Annualised exit</w:t>
      </w:r>
      <w:r w:rsidR="004C0C8A" w:rsidRPr="00337B48">
        <w:rPr>
          <w:rFonts w:ascii="Calibri" w:hAnsi="Calibri"/>
          <w:color w:val="000000"/>
        </w:rPr>
        <w:t xml:space="preserve"> MRR, which includes streaming and other platform licensing revenues, for June </w:t>
      </w:r>
      <w:proofErr w:type="gramStart"/>
      <w:r w:rsidR="004C0C8A" w:rsidRPr="00337B48">
        <w:rPr>
          <w:rFonts w:ascii="Calibri" w:hAnsi="Calibri"/>
          <w:color w:val="000000"/>
        </w:rPr>
        <w:t>2016</w:t>
      </w:r>
      <w:proofErr w:type="gramEnd"/>
      <w:r w:rsidR="004C0C8A" w:rsidRPr="00337B48">
        <w:rPr>
          <w:rFonts w:ascii="Calibri" w:hAnsi="Calibri"/>
          <w:color w:val="000000"/>
        </w:rPr>
        <w:t xml:space="preserve"> grew to £</w:t>
      </w:r>
      <w:r w:rsidR="00AA7BD3">
        <w:rPr>
          <w:rFonts w:ascii="Calibri" w:hAnsi="Calibri"/>
          <w:color w:val="000000"/>
        </w:rPr>
        <w:t>5.4</w:t>
      </w:r>
      <w:r w:rsidR="007708F8">
        <w:rPr>
          <w:rFonts w:ascii="Calibri" w:hAnsi="Calibri"/>
          <w:color w:val="000000"/>
        </w:rPr>
        <w:t>m</w:t>
      </w:r>
      <w:r w:rsidR="004C0C8A" w:rsidRPr="00337B48">
        <w:rPr>
          <w:rFonts w:ascii="Calibri" w:hAnsi="Calibri"/>
          <w:color w:val="000000"/>
        </w:rPr>
        <w:t xml:space="preserve">, an increase of </w:t>
      </w:r>
      <w:r w:rsidR="00E35C58" w:rsidRPr="00FA221F">
        <w:rPr>
          <w:rFonts w:ascii="Calibri" w:hAnsi="Calibri"/>
          <w:color w:val="000000"/>
        </w:rPr>
        <w:t>10</w:t>
      </w:r>
      <w:r w:rsidR="004C0C8A" w:rsidRPr="00337B48">
        <w:rPr>
          <w:rFonts w:ascii="Calibri" w:hAnsi="Calibri"/>
          <w:color w:val="000000"/>
        </w:rPr>
        <w:t>% against June 2015 (£</w:t>
      </w:r>
      <w:r w:rsidR="00AA7BD3">
        <w:rPr>
          <w:rFonts w:ascii="Calibri" w:hAnsi="Calibri"/>
          <w:color w:val="000000"/>
        </w:rPr>
        <w:t>4.9</w:t>
      </w:r>
      <w:r w:rsidR="000D5994">
        <w:rPr>
          <w:rFonts w:ascii="Calibri" w:hAnsi="Calibri"/>
          <w:color w:val="000000"/>
        </w:rPr>
        <w:t>m</w:t>
      </w:r>
      <w:r w:rsidR="004C0C8A" w:rsidRPr="00337B48">
        <w:rPr>
          <w:rFonts w:ascii="Calibri" w:hAnsi="Calibri"/>
          <w:color w:val="000000"/>
        </w:rPr>
        <w:t>). Licensing fees included £</w:t>
      </w:r>
      <w:r w:rsidR="00525233" w:rsidRPr="00FA221F">
        <w:rPr>
          <w:rFonts w:ascii="Calibri" w:hAnsi="Calibri"/>
          <w:color w:val="000000"/>
        </w:rPr>
        <w:t>0</w:t>
      </w:r>
      <w:r w:rsidR="004C0C8A" w:rsidRPr="00FA221F">
        <w:rPr>
          <w:rFonts w:ascii="Calibri" w:hAnsi="Calibri"/>
          <w:color w:val="000000"/>
        </w:rPr>
        <w:t>.</w:t>
      </w:r>
      <w:r w:rsidR="00525233" w:rsidRPr="00FA221F">
        <w:rPr>
          <w:rFonts w:ascii="Calibri" w:hAnsi="Calibri"/>
          <w:color w:val="000000"/>
        </w:rPr>
        <w:t>7</w:t>
      </w:r>
      <w:r w:rsidR="004C0C8A" w:rsidRPr="00FA221F">
        <w:rPr>
          <w:rFonts w:ascii="Calibri" w:hAnsi="Calibri"/>
          <w:color w:val="000000"/>
        </w:rPr>
        <w:t>m</w:t>
      </w:r>
      <w:r w:rsidR="004C0C8A" w:rsidRPr="00337B48">
        <w:rPr>
          <w:rFonts w:ascii="Calibri" w:hAnsi="Calibri"/>
          <w:color w:val="000000"/>
        </w:rPr>
        <w:t xml:space="preserve"> of initial set up fees paid by new customers, who we would expect to contribute to increasing MRR in the remainder of 2016 and beyond.        </w:t>
      </w:r>
    </w:p>
    <w:p w14:paraId="4CE80C60" w14:textId="21B55A28" w:rsidR="00986DC9" w:rsidRDefault="00986DC9" w:rsidP="004C0C8A">
      <w:pPr>
        <w:jc w:val="both"/>
        <w:rPr>
          <w:rFonts w:ascii="Calibri" w:hAnsi="Calibri"/>
          <w:color w:val="000000"/>
        </w:rPr>
      </w:pPr>
      <w:r>
        <w:rPr>
          <w:rFonts w:ascii="Calibri" w:hAnsi="Calibri"/>
          <w:color w:val="000000"/>
        </w:rPr>
        <w:t xml:space="preserve">During the first half we delivered 206m </w:t>
      </w:r>
      <w:r w:rsidR="0097146B">
        <w:rPr>
          <w:rFonts w:ascii="Calibri" w:hAnsi="Calibri"/>
          <w:color w:val="000000"/>
        </w:rPr>
        <w:t xml:space="preserve">music streams </w:t>
      </w:r>
      <w:r>
        <w:rPr>
          <w:rFonts w:ascii="Calibri" w:hAnsi="Calibri"/>
          <w:color w:val="000000"/>
        </w:rPr>
        <w:t xml:space="preserve">to over 12.6m people, which by year to date had increased to </w:t>
      </w:r>
      <w:r w:rsidRPr="00986DC9">
        <w:rPr>
          <w:rFonts w:ascii="Calibri" w:hAnsi="Calibri"/>
          <w:color w:val="000000"/>
        </w:rPr>
        <w:t>600</w:t>
      </w:r>
      <w:r w:rsidR="00C26CA2">
        <w:rPr>
          <w:rFonts w:ascii="Calibri" w:hAnsi="Calibri"/>
          <w:color w:val="000000"/>
        </w:rPr>
        <w:t>m</w:t>
      </w:r>
      <w:r w:rsidRPr="00986DC9">
        <w:rPr>
          <w:rFonts w:ascii="Calibri" w:hAnsi="Calibri"/>
          <w:color w:val="000000"/>
        </w:rPr>
        <w:t xml:space="preserve"> streams delivered to more than 15m people</w:t>
      </w:r>
      <w:r>
        <w:rPr>
          <w:rFonts w:ascii="Calibri" w:hAnsi="Calibri"/>
          <w:color w:val="000000"/>
        </w:rPr>
        <w:t xml:space="preserve">. This compares </w:t>
      </w:r>
      <w:r w:rsidRPr="00986DC9">
        <w:rPr>
          <w:rFonts w:ascii="Calibri" w:hAnsi="Calibri"/>
          <w:color w:val="000000"/>
        </w:rPr>
        <w:t xml:space="preserve">to 72.6m streams </w:t>
      </w:r>
      <w:r>
        <w:rPr>
          <w:rFonts w:ascii="Calibri" w:hAnsi="Calibri"/>
          <w:color w:val="000000"/>
        </w:rPr>
        <w:t xml:space="preserve">delivered </w:t>
      </w:r>
      <w:r w:rsidRPr="00986DC9">
        <w:rPr>
          <w:rFonts w:ascii="Calibri" w:hAnsi="Calibri"/>
          <w:color w:val="000000"/>
        </w:rPr>
        <w:t xml:space="preserve">to </w:t>
      </w:r>
      <w:r w:rsidR="0097146B">
        <w:rPr>
          <w:rFonts w:ascii="Calibri" w:hAnsi="Calibri"/>
          <w:color w:val="000000"/>
        </w:rPr>
        <w:t xml:space="preserve">approximately </w:t>
      </w:r>
      <w:r w:rsidRPr="00986DC9">
        <w:rPr>
          <w:rFonts w:ascii="Calibri" w:hAnsi="Calibri"/>
          <w:color w:val="000000"/>
        </w:rPr>
        <w:t>3m people for the whole of 2015</w:t>
      </w:r>
      <w:r w:rsidR="00285792">
        <w:rPr>
          <w:rFonts w:ascii="Calibri" w:hAnsi="Calibri"/>
          <w:color w:val="000000"/>
        </w:rPr>
        <w:t>, illustrating</w:t>
      </w:r>
      <w:r>
        <w:rPr>
          <w:rFonts w:ascii="Calibri" w:hAnsi="Calibri"/>
          <w:color w:val="000000"/>
        </w:rPr>
        <w:t xml:space="preserve"> the rapid growth in reach </w:t>
      </w:r>
      <w:r w:rsidR="00CE3675">
        <w:rPr>
          <w:rFonts w:ascii="Calibri" w:hAnsi="Calibri"/>
          <w:color w:val="000000"/>
        </w:rPr>
        <w:t xml:space="preserve">and usage </w:t>
      </w:r>
      <w:r>
        <w:rPr>
          <w:rFonts w:ascii="Calibri" w:hAnsi="Calibri"/>
          <w:color w:val="000000"/>
        </w:rPr>
        <w:t xml:space="preserve">of our platforms. </w:t>
      </w:r>
      <w:r w:rsidRPr="00986DC9">
        <w:rPr>
          <w:rFonts w:ascii="Calibri" w:hAnsi="Calibri"/>
          <w:color w:val="000000"/>
        </w:rPr>
        <w:t xml:space="preserve">   </w:t>
      </w:r>
    </w:p>
    <w:p w14:paraId="4403EE54" w14:textId="184DD9A7" w:rsidR="004C0C8A" w:rsidRPr="00337B48" w:rsidRDefault="004C0C8A" w:rsidP="004C0C8A">
      <w:pPr>
        <w:jc w:val="both"/>
        <w:rPr>
          <w:rFonts w:ascii="Calibri" w:hAnsi="Calibri"/>
          <w:color w:val="000000"/>
        </w:rPr>
      </w:pPr>
      <w:r w:rsidRPr="00337B48">
        <w:rPr>
          <w:rFonts w:ascii="Calibri" w:hAnsi="Calibri"/>
          <w:color w:val="000000"/>
        </w:rPr>
        <w:t>The first half of the year has seen the Company’s client base continue to shift to major, tier one corporates, increasing the scale of our customers and continuing to improve the quality</w:t>
      </w:r>
      <w:r w:rsidR="00665A17">
        <w:rPr>
          <w:rFonts w:ascii="Calibri" w:hAnsi="Calibri"/>
          <w:color w:val="000000"/>
        </w:rPr>
        <w:t xml:space="preserve"> and predictability</w:t>
      </w:r>
      <w:r w:rsidRPr="00337B48">
        <w:rPr>
          <w:rFonts w:ascii="Calibri" w:hAnsi="Calibri"/>
          <w:color w:val="000000"/>
        </w:rPr>
        <w:t xml:space="preserve"> of our business</w:t>
      </w:r>
      <w:r w:rsidR="00604C28">
        <w:rPr>
          <w:rFonts w:ascii="Calibri" w:hAnsi="Calibri"/>
          <w:color w:val="000000"/>
        </w:rPr>
        <w:t xml:space="preserve"> and revenues</w:t>
      </w:r>
      <w:r w:rsidRPr="00337B48">
        <w:rPr>
          <w:rFonts w:ascii="Calibri" w:hAnsi="Calibri"/>
          <w:color w:val="000000"/>
        </w:rPr>
        <w:t xml:space="preserve">. The Company signed a contract with </w:t>
      </w:r>
      <w:proofErr w:type="spellStart"/>
      <w:r w:rsidRPr="00337B48">
        <w:rPr>
          <w:rFonts w:ascii="Calibri" w:hAnsi="Calibri"/>
          <w:color w:val="000000"/>
        </w:rPr>
        <w:t>Cdiscount</w:t>
      </w:r>
      <w:proofErr w:type="spellEnd"/>
      <w:r w:rsidRPr="00337B48">
        <w:rPr>
          <w:rFonts w:ascii="Calibri" w:hAnsi="Calibri"/>
          <w:color w:val="000000"/>
        </w:rPr>
        <w:t xml:space="preserve">, the leading e-commerce retailer in France, </w:t>
      </w:r>
      <w:r w:rsidR="006D16EC">
        <w:rPr>
          <w:rFonts w:ascii="Calibri" w:hAnsi="Calibri"/>
          <w:color w:val="000000"/>
        </w:rPr>
        <w:t xml:space="preserve">which will see the </w:t>
      </w:r>
      <w:r w:rsidRPr="00337B48">
        <w:rPr>
          <w:rFonts w:ascii="Calibri" w:hAnsi="Calibri"/>
          <w:color w:val="000000"/>
        </w:rPr>
        <w:t xml:space="preserve">launch </w:t>
      </w:r>
      <w:r w:rsidR="006D16EC">
        <w:rPr>
          <w:rFonts w:ascii="Calibri" w:hAnsi="Calibri"/>
          <w:color w:val="000000"/>
        </w:rPr>
        <w:t xml:space="preserve">of </w:t>
      </w:r>
      <w:r w:rsidRPr="00337B48">
        <w:rPr>
          <w:rFonts w:ascii="Calibri" w:hAnsi="Calibri"/>
          <w:color w:val="000000"/>
        </w:rPr>
        <w:t xml:space="preserve">a new </w:t>
      </w:r>
      <w:r w:rsidR="006D16EC">
        <w:rPr>
          <w:rFonts w:ascii="Calibri" w:hAnsi="Calibri"/>
          <w:color w:val="000000"/>
        </w:rPr>
        <w:t xml:space="preserve">streamed </w:t>
      </w:r>
      <w:r w:rsidRPr="00337B48">
        <w:rPr>
          <w:rFonts w:ascii="Calibri" w:hAnsi="Calibri"/>
          <w:color w:val="000000"/>
        </w:rPr>
        <w:t xml:space="preserve">music service </w:t>
      </w:r>
      <w:r w:rsidR="006D16EC">
        <w:rPr>
          <w:rFonts w:ascii="Calibri" w:hAnsi="Calibri"/>
          <w:color w:val="000000"/>
        </w:rPr>
        <w:t>next week</w:t>
      </w:r>
      <w:r w:rsidRPr="00337B48">
        <w:rPr>
          <w:rFonts w:ascii="Calibri" w:hAnsi="Calibri"/>
          <w:color w:val="000000"/>
        </w:rPr>
        <w:t xml:space="preserve">. </w:t>
      </w:r>
      <w:proofErr w:type="spellStart"/>
      <w:r w:rsidRPr="00337B48">
        <w:rPr>
          <w:rFonts w:ascii="Calibri" w:hAnsi="Calibri"/>
          <w:color w:val="000000"/>
        </w:rPr>
        <w:t>Cdiscount</w:t>
      </w:r>
      <w:proofErr w:type="spellEnd"/>
      <w:r w:rsidRPr="00337B48">
        <w:rPr>
          <w:rFonts w:ascii="Calibri" w:hAnsi="Calibri"/>
          <w:color w:val="000000"/>
        </w:rPr>
        <w:t xml:space="preserve"> generated profits last year of €1.765bn on a turnover of €2.741bn and enjoys a 34.4% total share of e-commerce in France (source: </w:t>
      </w:r>
      <w:proofErr w:type="spellStart"/>
      <w:r w:rsidRPr="00337B48">
        <w:rPr>
          <w:rFonts w:ascii="Calibri" w:hAnsi="Calibri"/>
          <w:color w:val="000000"/>
        </w:rPr>
        <w:t>GfK</w:t>
      </w:r>
      <w:proofErr w:type="spellEnd"/>
      <w:r w:rsidRPr="00337B48">
        <w:rPr>
          <w:rFonts w:ascii="Calibri" w:hAnsi="Calibri"/>
          <w:color w:val="000000"/>
        </w:rPr>
        <w:t xml:space="preserve">). </w:t>
      </w:r>
    </w:p>
    <w:p w14:paraId="65DAEDD8" w14:textId="4A0F7C9D" w:rsidR="004C0C8A" w:rsidRPr="00337B48" w:rsidRDefault="004C0C8A" w:rsidP="004C0C8A">
      <w:pPr>
        <w:jc w:val="both"/>
        <w:rPr>
          <w:rFonts w:ascii="Calibri" w:hAnsi="Calibri"/>
          <w:color w:val="000000"/>
        </w:rPr>
      </w:pPr>
      <w:r w:rsidRPr="00337B48">
        <w:rPr>
          <w:rFonts w:ascii="Calibri" w:hAnsi="Calibri"/>
          <w:color w:val="000000"/>
        </w:rPr>
        <w:t>We also signed an agreement with musical.ly, the fast-growing global social media platform based around video and music with a strong and growing global footprint of over 100m users and we expect monthly revenues from this agreement to increase over time. This agreement and our partnership with will.i.am, who launched his Dial wearable “</w:t>
      </w:r>
      <w:proofErr w:type="spellStart"/>
      <w:r w:rsidRPr="00337B48">
        <w:rPr>
          <w:rFonts w:ascii="Calibri" w:hAnsi="Calibri"/>
          <w:color w:val="000000"/>
        </w:rPr>
        <w:t>smartcuff</w:t>
      </w:r>
      <w:proofErr w:type="spellEnd"/>
      <w:r w:rsidRPr="00337B48">
        <w:rPr>
          <w:rFonts w:ascii="Calibri" w:hAnsi="Calibri"/>
          <w:color w:val="000000"/>
        </w:rPr>
        <w:t xml:space="preserve">” device during the period, are examples of how we can leverage our capabilities to enable and participate in disruptive </w:t>
      </w:r>
      <w:r w:rsidRPr="00FA221F">
        <w:rPr>
          <w:rFonts w:ascii="Calibri" w:hAnsi="Calibri"/>
          <w:color w:val="000000"/>
        </w:rPr>
        <w:t>new business models and</w:t>
      </w:r>
      <w:r w:rsidRPr="00337B48">
        <w:rPr>
          <w:rFonts w:ascii="Calibri" w:hAnsi="Calibri"/>
          <w:color w:val="000000"/>
        </w:rPr>
        <w:t xml:space="preserve"> product categories. </w:t>
      </w:r>
    </w:p>
    <w:p w14:paraId="232AF664" w14:textId="66500502" w:rsidR="004C0C8A" w:rsidRPr="00337B48" w:rsidRDefault="00BF1C71" w:rsidP="004C0C8A">
      <w:pPr>
        <w:jc w:val="both"/>
        <w:rPr>
          <w:rFonts w:ascii="Calibri" w:hAnsi="Calibri"/>
          <w:color w:val="000000"/>
        </w:rPr>
      </w:pPr>
      <w:r w:rsidRPr="00FA221F">
        <w:rPr>
          <w:rFonts w:ascii="Calibri" w:hAnsi="Calibri"/>
          <w:color w:val="000000"/>
        </w:rPr>
        <w:t>In line with a strategic emphasis on further developing commercial relationships with rights holders, 7digital has reached new agreements with two of the world’s major music labels. In addition to continuing to license and provide access to their catalogues for its customers, 7digital will also now provide new services to the labels, which will contribute to the Company’s revenues for 2016</w:t>
      </w:r>
      <w:r w:rsidR="004C0C8A" w:rsidRPr="00337B48">
        <w:rPr>
          <w:rFonts w:ascii="Calibri" w:hAnsi="Calibri"/>
          <w:color w:val="000000"/>
        </w:rPr>
        <w:t xml:space="preserve">. </w:t>
      </w:r>
      <w:r>
        <w:rPr>
          <w:rFonts w:ascii="Calibri" w:hAnsi="Calibri"/>
          <w:color w:val="000000"/>
        </w:rPr>
        <w:t>One contract</w:t>
      </w:r>
      <w:r w:rsidR="004C0C8A" w:rsidRPr="00337B48">
        <w:rPr>
          <w:rFonts w:ascii="Calibri" w:hAnsi="Calibri"/>
          <w:color w:val="000000"/>
        </w:rPr>
        <w:t xml:space="preserve">, negotiated by the new business development team in Paris, will see 7digital power </w:t>
      </w:r>
      <w:r>
        <w:rPr>
          <w:rFonts w:ascii="Calibri" w:hAnsi="Calibri"/>
          <w:color w:val="000000"/>
        </w:rPr>
        <w:t>a new</w:t>
      </w:r>
      <w:r w:rsidR="004C0C8A" w:rsidRPr="00337B48">
        <w:rPr>
          <w:rFonts w:ascii="Calibri" w:hAnsi="Calibri"/>
          <w:color w:val="000000"/>
        </w:rPr>
        <w:t xml:space="preserve"> mobile music service in 4 markets. </w:t>
      </w:r>
      <w:r>
        <w:rPr>
          <w:rFonts w:ascii="Calibri" w:hAnsi="Calibri"/>
          <w:color w:val="000000"/>
        </w:rPr>
        <w:t xml:space="preserve"> </w:t>
      </w:r>
      <w:r w:rsidR="004C0C8A" w:rsidRPr="00337B48">
        <w:rPr>
          <w:rFonts w:ascii="Calibri" w:hAnsi="Calibri"/>
          <w:color w:val="000000"/>
        </w:rPr>
        <w:t xml:space="preserve">7digital will provide a package of services and infrastructure that includes access to the catalogue, front-end and back-end development, reporting, and tools for curation. </w:t>
      </w:r>
      <w:r w:rsidR="00260A13">
        <w:rPr>
          <w:rFonts w:ascii="Calibri" w:hAnsi="Calibri"/>
          <w:color w:val="000000"/>
        </w:rPr>
        <w:t>A</w:t>
      </w:r>
      <w:r w:rsidR="004C0C8A" w:rsidRPr="00337B48">
        <w:rPr>
          <w:rFonts w:ascii="Calibri" w:hAnsi="Calibri"/>
          <w:color w:val="000000"/>
        </w:rPr>
        <w:t xml:space="preserve"> second contract, secured by the London business development team, will see 7digital build a new tool for the label relating to streaming. </w:t>
      </w:r>
    </w:p>
    <w:p w14:paraId="5EFA2DE5" w14:textId="432EEE99" w:rsidR="004C0C8A" w:rsidRPr="00337B48" w:rsidRDefault="004C0C8A" w:rsidP="004C0C8A">
      <w:pPr>
        <w:jc w:val="both"/>
        <w:rPr>
          <w:rFonts w:ascii="Calibri" w:hAnsi="Calibri"/>
          <w:color w:val="000000"/>
        </w:rPr>
      </w:pPr>
      <w:r w:rsidRPr="00337B48">
        <w:rPr>
          <w:rFonts w:ascii="Calibri" w:hAnsi="Calibri"/>
          <w:color w:val="000000"/>
        </w:rPr>
        <w:t>The merging of radio and music streaming has continued in 2016 and 7digital</w:t>
      </w:r>
      <w:r w:rsidR="00604C28">
        <w:rPr>
          <w:rFonts w:ascii="Calibri" w:hAnsi="Calibri"/>
          <w:color w:val="000000"/>
        </w:rPr>
        <w:t>,</w:t>
      </w:r>
      <w:r w:rsidRPr="00337B48">
        <w:rPr>
          <w:rFonts w:ascii="Calibri" w:hAnsi="Calibri"/>
          <w:color w:val="000000"/>
        </w:rPr>
        <w:t xml:space="preserve"> with a pedigree in the production of high-quality content for broadcast and extensive experience in streaming</w:t>
      </w:r>
      <w:r w:rsidR="00604C28">
        <w:rPr>
          <w:rFonts w:ascii="Calibri" w:hAnsi="Calibri"/>
          <w:color w:val="000000"/>
        </w:rPr>
        <w:t>,</w:t>
      </w:r>
      <w:r w:rsidRPr="00337B48">
        <w:rPr>
          <w:rFonts w:ascii="Calibri" w:hAnsi="Calibri"/>
          <w:color w:val="000000"/>
        </w:rPr>
        <w:t xml:space="preserve"> is well positioned to take advantage of this growing trend. During the period we signed a contract with Global Radio to provide back-end technology and access to </w:t>
      </w:r>
      <w:r w:rsidR="00260A13">
        <w:rPr>
          <w:rFonts w:ascii="Calibri" w:hAnsi="Calibri"/>
          <w:color w:val="000000"/>
        </w:rPr>
        <w:t>the 7digital</w:t>
      </w:r>
      <w:r w:rsidRPr="00337B48">
        <w:rPr>
          <w:rFonts w:ascii="Calibri" w:hAnsi="Calibri"/>
          <w:color w:val="000000"/>
        </w:rPr>
        <w:t xml:space="preserve"> licensed catalogue of </w:t>
      </w:r>
      <w:r w:rsidR="00260A13">
        <w:rPr>
          <w:rFonts w:ascii="Calibri" w:hAnsi="Calibri"/>
          <w:color w:val="000000"/>
        </w:rPr>
        <w:t>50</w:t>
      </w:r>
      <w:r w:rsidRPr="00337B48">
        <w:rPr>
          <w:rFonts w:ascii="Calibri" w:hAnsi="Calibri"/>
          <w:color w:val="000000"/>
        </w:rPr>
        <w:t xml:space="preserve"> million tracks, and also signed an agreement with German national </w:t>
      </w:r>
      <w:r w:rsidR="00260A13">
        <w:rPr>
          <w:rFonts w:ascii="Calibri" w:hAnsi="Calibri"/>
          <w:color w:val="000000"/>
        </w:rPr>
        <w:t>c</w:t>
      </w:r>
      <w:r w:rsidRPr="00337B48">
        <w:rPr>
          <w:rFonts w:ascii="Calibri" w:hAnsi="Calibri"/>
          <w:color w:val="000000"/>
        </w:rPr>
        <w:t xml:space="preserve">lassical </w:t>
      </w:r>
      <w:r w:rsidR="00260A13">
        <w:rPr>
          <w:rFonts w:ascii="Calibri" w:hAnsi="Calibri"/>
          <w:color w:val="000000"/>
        </w:rPr>
        <w:t>m</w:t>
      </w:r>
      <w:r w:rsidRPr="00337B48">
        <w:rPr>
          <w:rFonts w:ascii="Calibri" w:hAnsi="Calibri"/>
          <w:color w:val="000000"/>
        </w:rPr>
        <w:t xml:space="preserve">usic broadcaster </w:t>
      </w:r>
      <w:proofErr w:type="spellStart"/>
      <w:r w:rsidRPr="00337B48">
        <w:rPr>
          <w:rFonts w:ascii="Calibri" w:hAnsi="Calibri"/>
          <w:color w:val="000000"/>
        </w:rPr>
        <w:t>Klassik</w:t>
      </w:r>
      <w:proofErr w:type="spellEnd"/>
      <w:r w:rsidRPr="00337B48">
        <w:rPr>
          <w:rFonts w:ascii="Calibri" w:hAnsi="Calibri"/>
          <w:color w:val="000000"/>
        </w:rPr>
        <w:t xml:space="preserve"> Radio to provide the catalogue and mobile app for a new integrated live radio and streamed music service.</w:t>
      </w:r>
      <w:r w:rsidR="0072004F">
        <w:rPr>
          <w:rFonts w:ascii="Calibri" w:hAnsi="Calibri"/>
          <w:color w:val="000000"/>
        </w:rPr>
        <w:t xml:space="preserve"> </w:t>
      </w:r>
      <w:r w:rsidRPr="00337B48">
        <w:rPr>
          <w:rFonts w:ascii="Calibri" w:hAnsi="Calibri"/>
          <w:color w:val="000000"/>
        </w:rPr>
        <w:t>These wins</w:t>
      </w:r>
      <w:r w:rsidR="00260A13">
        <w:rPr>
          <w:rFonts w:ascii="Calibri" w:hAnsi="Calibri"/>
          <w:color w:val="000000"/>
        </w:rPr>
        <w:t xml:space="preserve"> </w:t>
      </w:r>
      <w:r w:rsidRPr="00337B48">
        <w:rPr>
          <w:rFonts w:ascii="Calibri" w:hAnsi="Calibri"/>
          <w:color w:val="000000"/>
        </w:rPr>
        <w:t>demonstrate how we can help businesses to take advantage of radio streaming service models to expand reach outside their original country of activity to a potential global audience.</w:t>
      </w:r>
    </w:p>
    <w:p w14:paraId="3EBF86BA" w14:textId="7CA83B02" w:rsidR="004C0C8A" w:rsidRPr="00337B48" w:rsidRDefault="004C0C8A" w:rsidP="004C0C8A">
      <w:pPr>
        <w:jc w:val="both"/>
        <w:rPr>
          <w:rFonts w:ascii="Calibri" w:hAnsi="Calibri"/>
          <w:color w:val="000000"/>
        </w:rPr>
      </w:pPr>
      <w:r w:rsidRPr="00337B48">
        <w:rPr>
          <w:rFonts w:ascii="Calibri" w:hAnsi="Calibri"/>
          <w:color w:val="000000"/>
        </w:rPr>
        <w:t>We have also seen strong progress in the provision of high resolution audio in the first half of the year, signing our first contract using the high resolution audio technology, MQA. The contract will see us develop desktop and mobile applications and handle rights holder reporting, end user management and payment processing for a customer which</w:t>
      </w:r>
      <w:r w:rsidR="009413F9">
        <w:rPr>
          <w:rFonts w:ascii="Calibri" w:hAnsi="Calibri"/>
          <w:color w:val="000000"/>
        </w:rPr>
        <w:t>, it is hoped,</w:t>
      </w:r>
      <w:r w:rsidRPr="00337B48">
        <w:rPr>
          <w:rFonts w:ascii="Calibri" w:hAnsi="Calibri"/>
          <w:color w:val="000000"/>
        </w:rPr>
        <w:t xml:space="preserve"> will launch an MQA service later this year. 7digital will also now be providing the high resolution downloads for Neil Young’s </w:t>
      </w:r>
      <w:proofErr w:type="spellStart"/>
      <w:r w:rsidRPr="00337B48">
        <w:rPr>
          <w:rFonts w:ascii="Calibri" w:hAnsi="Calibri"/>
          <w:color w:val="000000"/>
        </w:rPr>
        <w:t>Pono</w:t>
      </w:r>
      <w:r w:rsidR="00260A13">
        <w:rPr>
          <w:rFonts w:ascii="Calibri" w:hAnsi="Calibri"/>
          <w:color w:val="000000"/>
        </w:rPr>
        <w:t>M</w:t>
      </w:r>
      <w:r w:rsidRPr="00337B48">
        <w:rPr>
          <w:rFonts w:ascii="Calibri" w:hAnsi="Calibri"/>
          <w:color w:val="000000"/>
        </w:rPr>
        <w:t>usic</w:t>
      </w:r>
      <w:proofErr w:type="spellEnd"/>
      <w:r w:rsidRPr="00337B48">
        <w:rPr>
          <w:rFonts w:ascii="Calibri" w:hAnsi="Calibri"/>
          <w:color w:val="000000"/>
        </w:rPr>
        <w:t xml:space="preserve"> platform, following the administration of leading competitor</w:t>
      </w:r>
      <w:r w:rsidR="00F80B55">
        <w:rPr>
          <w:rFonts w:ascii="Calibri" w:hAnsi="Calibri"/>
          <w:color w:val="000000"/>
        </w:rPr>
        <w:t>,</w:t>
      </w:r>
      <w:r w:rsidRPr="00337B48">
        <w:rPr>
          <w:rFonts w:ascii="Calibri" w:hAnsi="Calibri"/>
          <w:color w:val="000000"/>
        </w:rPr>
        <w:t xml:space="preserve"> </w:t>
      </w:r>
      <w:proofErr w:type="spellStart"/>
      <w:r w:rsidRPr="00337B48">
        <w:rPr>
          <w:rFonts w:ascii="Calibri" w:hAnsi="Calibri"/>
          <w:color w:val="000000"/>
        </w:rPr>
        <w:t>Omnifone</w:t>
      </w:r>
      <w:proofErr w:type="spellEnd"/>
      <w:r w:rsidR="00260A13">
        <w:rPr>
          <w:rFonts w:ascii="Calibri" w:hAnsi="Calibri"/>
          <w:color w:val="000000"/>
        </w:rPr>
        <w:t>.</w:t>
      </w:r>
    </w:p>
    <w:p w14:paraId="54A073EC" w14:textId="77777777" w:rsidR="004C0C8A" w:rsidRPr="00337B48" w:rsidRDefault="004C0C8A" w:rsidP="004C0C8A">
      <w:pPr>
        <w:jc w:val="both"/>
        <w:rPr>
          <w:rFonts w:ascii="Calibri" w:hAnsi="Calibri"/>
          <w:color w:val="000000"/>
        </w:rPr>
      </w:pPr>
      <w:r w:rsidRPr="00337B48">
        <w:rPr>
          <w:rFonts w:ascii="Calibri" w:hAnsi="Calibri"/>
          <w:color w:val="000000"/>
        </w:rPr>
        <w:t>High resolution audio is an important growth segment within digital music and these contracts, along with others in our pipeline, build upon 7digital’s early implementation of MQA download stores in January 2016.</w:t>
      </w:r>
    </w:p>
    <w:p w14:paraId="2A8C0338" w14:textId="77777777" w:rsidR="004C0C8A" w:rsidRPr="00337B48" w:rsidRDefault="004C0C8A" w:rsidP="004C0C8A">
      <w:pPr>
        <w:jc w:val="both"/>
        <w:rPr>
          <w:rFonts w:ascii="Calibri" w:hAnsi="Calibri"/>
          <w:b/>
          <w:color w:val="000000"/>
        </w:rPr>
      </w:pPr>
      <w:r w:rsidRPr="00337B48">
        <w:rPr>
          <w:rFonts w:ascii="Calibri" w:hAnsi="Calibri"/>
          <w:b/>
          <w:color w:val="000000"/>
        </w:rPr>
        <w:t>Creative</w:t>
      </w:r>
    </w:p>
    <w:p w14:paraId="5864570E" w14:textId="44341B35" w:rsidR="00E31FAC" w:rsidRDefault="00E31FAC" w:rsidP="004C0C8A">
      <w:pPr>
        <w:jc w:val="both"/>
        <w:rPr>
          <w:rFonts w:ascii="Calibri" w:hAnsi="Calibri"/>
          <w:color w:val="000000"/>
        </w:rPr>
      </w:pPr>
      <w:r w:rsidRPr="00E31FAC">
        <w:rPr>
          <w:rFonts w:ascii="Calibri" w:hAnsi="Calibri"/>
          <w:color w:val="000000"/>
        </w:rPr>
        <w:t>Our Creative division is engaged in the creation of award winning audio and video programming for broadcasters, receiving commissions from BBC’s national radio network</w:t>
      </w:r>
      <w:r w:rsidR="00C40970">
        <w:rPr>
          <w:rFonts w:ascii="Calibri" w:hAnsi="Calibri"/>
          <w:color w:val="000000"/>
        </w:rPr>
        <w:t>s</w:t>
      </w:r>
      <w:r w:rsidRPr="00E31FAC">
        <w:rPr>
          <w:rFonts w:ascii="Calibri" w:hAnsi="Calibri"/>
          <w:color w:val="000000"/>
        </w:rPr>
        <w:t>, commercial radio stations and other broadcasters such as Sky Television. It is a profitable business that brings a number of synergistic benefits to our licensing operations, in particular the ability to offer clients complementary knowledge and skillsets such as playlist curation and video or audio production.</w:t>
      </w:r>
    </w:p>
    <w:p w14:paraId="1C6C9A84" w14:textId="64F56781" w:rsidR="004C0C8A" w:rsidRPr="00337B48" w:rsidRDefault="00671A1C" w:rsidP="004C0C8A">
      <w:pPr>
        <w:jc w:val="both"/>
        <w:rPr>
          <w:rFonts w:ascii="Calibri" w:hAnsi="Calibri"/>
          <w:color w:val="000000"/>
        </w:rPr>
      </w:pPr>
      <w:r>
        <w:rPr>
          <w:rFonts w:ascii="Calibri" w:hAnsi="Calibri"/>
          <w:color w:val="000000"/>
        </w:rPr>
        <w:t xml:space="preserve">Reflecting an expected second half weighting this year, </w:t>
      </w:r>
      <w:r w:rsidR="004C0C8A" w:rsidRPr="00337B48">
        <w:rPr>
          <w:rFonts w:ascii="Calibri" w:hAnsi="Calibri"/>
          <w:color w:val="000000"/>
        </w:rPr>
        <w:t xml:space="preserve">Creative revenues </w:t>
      </w:r>
      <w:r>
        <w:rPr>
          <w:rFonts w:ascii="Calibri" w:hAnsi="Calibri"/>
          <w:color w:val="000000"/>
        </w:rPr>
        <w:t xml:space="preserve">in the first half </w:t>
      </w:r>
      <w:r w:rsidR="00C15B73">
        <w:rPr>
          <w:rFonts w:ascii="Calibri" w:hAnsi="Calibri"/>
          <w:color w:val="000000"/>
        </w:rPr>
        <w:t>were £</w:t>
      </w:r>
      <w:r w:rsidR="00C974DC">
        <w:rPr>
          <w:rFonts w:ascii="Calibri" w:hAnsi="Calibri"/>
          <w:color w:val="000000"/>
        </w:rPr>
        <w:t>0</w:t>
      </w:r>
      <w:r w:rsidR="00C15B73">
        <w:rPr>
          <w:rFonts w:ascii="Calibri" w:hAnsi="Calibri"/>
          <w:color w:val="000000"/>
        </w:rPr>
        <w:t xml:space="preserve">.8m </w:t>
      </w:r>
      <w:r w:rsidR="004C0C8A" w:rsidRPr="00337B48">
        <w:rPr>
          <w:rFonts w:ascii="Calibri" w:hAnsi="Calibri"/>
          <w:color w:val="000000"/>
        </w:rPr>
        <w:t>(</w:t>
      </w:r>
      <w:r w:rsidR="00D155A5">
        <w:rPr>
          <w:rFonts w:ascii="Calibri" w:hAnsi="Calibri"/>
          <w:color w:val="000000"/>
        </w:rPr>
        <w:t xml:space="preserve">H1 </w:t>
      </w:r>
      <w:r w:rsidR="004C0C8A" w:rsidRPr="00337B48">
        <w:rPr>
          <w:rFonts w:ascii="Calibri" w:hAnsi="Calibri"/>
          <w:color w:val="000000"/>
        </w:rPr>
        <w:t>2015</w:t>
      </w:r>
      <w:r w:rsidR="004C0C8A" w:rsidRPr="005C2DE7">
        <w:rPr>
          <w:rFonts w:ascii="Calibri" w:hAnsi="Calibri"/>
          <w:color w:val="000000"/>
        </w:rPr>
        <w:t xml:space="preserve">: </w:t>
      </w:r>
      <w:r w:rsidR="004C0C8A" w:rsidRPr="00FA221F">
        <w:rPr>
          <w:rFonts w:ascii="Calibri" w:hAnsi="Calibri"/>
          <w:color w:val="000000"/>
        </w:rPr>
        <w:t>£</w:t>
      </w:r>
      <w:r w:rsidR="00C15B73" w:rsidRPr="00FA221F">
        <w:rPr>
          <w:rFonts w:ascii="Calibri" w:hAnsi="Calibri"/>
          <w:color w:val="000000"/>
        </w:rPr>
        <w:t>0.9</w:t>
      </w:r>
      <w:r w:rsidR="004C0C8A" w:rsidRPr="00FA221F">
        <w:rPr>
          <w:rFonts w:ascii="Calibri" w:hAnsi="Calibri"/>
          <w:color w:val="000000"/>
        </w:rPr>
        <w:t>m</w:t>
      </w:r>
      <w:r w:rsidR="004C0C8A" w:rsidRPr="00337B48">
        <w:rPr>
          <w:rFonts w:ascii="Calibri" w:hAnsi="Calibri"/>
          <w:color w:val="000000"/>
        </w:rPr>
        <w:t>)</w:t>
      </w:r>
      <w:r w:rsidR="00AA153A">
        <w:rPr>
          <w:rFonts w:ascii="Calibri" w:hAnsi="Calibri"/>
          <w:color w:val="000000"/>
        </w:rPr>
        <w:t>.</w:t>
      </w:r>
    </w:p>
    <w:p w14:paraId="0D70790C" w14:textId="3BDA6D3F" w:rsidR="004C0C8A" w:rsidRDefault="005C1A96" w:rsidP="004C0C8A">
      <w:pPr>
        <w:jc w:val="both"/>
        <w:rPr>
          <w:rFonts w:ascii="Calibri" w:hAnsi="Calibri"/>
          <w:color w:val="000000"/>
        </w:rPr>
      </w:pPr>
      <w:r>
        <w:rPr>
          <w:rFonts w:ascii="Calibri" w:hAnsi="Calibri"/>
          <w:color w:val="000000"/>
        </w:rPr>
        <w:t xml:space="preserve">The division </w:t>
      </w:r>
      <w:r w:rsidR="004C0C8A" w:rsidRPr="00337B48">
        <w:rPr>
          <w:rFonts w:ascii="Calibri" w:hAnsi="Calibri"/>
          <w:color w:val="000000"/>
        </w:rPr>
        <w:t xml:space="preserve">has continued to win new business throughout the first six months of this year, benefiting from our broad </w:t>
      </w:r>
      <w:r>
        <w:rPr>
          <w:rFonts w:ascii="Calibri" w:hAnsi="Calibri"/>
          <w:color w:val="000000"/>
        </w:rPr>
        <w:t>c</w:t>
      </w:r>
      <w:r w:rsidR="004C0C8A" w:rsidRPr="00337B48">
        <w:rPr>
          <w:rFonts w:ascii="Calibri" w:hAnsi="Calibri"/>
          <w:color w:val="000000"/>
        </w:rPr>
        <w:t xml:space="preserve">apabilities and deep industry relationships. We have been contracted to produce content for Audible, an Amazon company, and have signed a deal with Sky Arts to produce TV coverage of the Cambridge Folk Festival for the fourth time. </w:t>
      </w:r>
      <w:r w:rsidR="00FE4152" w:rsidRPr="00FE4152">
        <w:rPr>
          <w:rFonts w:ascii="Calibri" w:hAnsi="Calibri"/>
          <w:color w:val="000000"/>
        </w:rPr>
        <w:t>Continuing our long relationship with the BBC, we have secured a number of contracts in 2016, including retention of the popular Sunday Morning show and winning the high-profile Jazz Now series commission (both BBC Radio 3). Taken together, content produced by 7digital’s Creative team reaches over 10m listeners every week (RAJARs Q2 2016).</w:t>
      </w:r>
    </w:p>
    <w:p w14:paraId="2EE07297" w14:textId="77777777" w:rsidR="003178EE" w:rsidRPr="009F7857" w:rsidRDefault="003178EE" w:rsidP="004C0C8A">
      <w:pPr>
        <w:jc w:val="both"/>
        <w:rPr>
          <w:rFonts w:ascii="Calibri" w:hAnsi="Calibri"/>
          <w:b/>
          <w:color w:val="000000"/>
        </w:rPr>
      </w:pPr>
      <w:r w:rsidRPr="009F7857">
        <w:rPr>
          <w:rFonts w:ascii="Calibri" w:hAnsi="Calibri"/>
          <w:b/>
          <w:color w:val="000000"/>
        </w:rPr>
        <w:t>Content</w:t>
      </w:r>
    </w:p>
    <w:p w14:paraId="7398CB4A" w14:textId="77777777" w:rsidR="003178EE" w:rsidRDefault="003178EE" w:rsidP="004C0C8A">
      <w:pPr>
        <w:jc w:val="both"/>
        <w:rPr>
          <w:rFonts w:ascii="Calibri" w:hAnsi="Calibri"/>
          <w:color w:val="000000"/>
        </w:rPr>
      </w:pPr>
      <w:r>
        <w:rPr>
          <w:rFonts w:ascii="Calibri" w:hAnsi="Calibri"/>
          <w:color w:val="000000"/>
        </w:rPr>
        <w:lastRenderedPageBreak/>
        <w:t xml:space="preserve">Content </w:t>
      </w:r>
      <w:r w:rsidRPr="003178EE">
        <w:rPr>
          <w:rFonts w:ascii="Calibri" w:hAnsi="Calibri"/>
          <w:color w:val="000000"/>
        </w:rPr>
        <w:t xml:space="preserve">includes legacy sales of digital music downloads by the Group direct to consumers; while we remain alert to higher margin opportunities that sit comfortably within our business strategy, this is an activity which we are deliberately decreasing as it is a low margin and non-core to the Group.          </w:t>
      </w:r>
    </w:p>
    <w:p w14:paraId="47BBDE2D" w14:textId="40DDB7F7" w:rsidR="00141706" w:rsidRPr="00337B48" w:rsidRDefault="00C578F8" w:rsidP="004C0C8A">
      <w:pPr>
        <w:jc w:val="both"/>
        <w:rPr>
          <w:rFonts w:ascii="Calibri" w:hAnsi="Calibri"/>
          <w:color w:val="000000"/>
        </w:rPr>
      </w:pPr>
      <w:r>
        <w:rPr>
          <w:rFonts w:ascii="Calibri" w:hAnsi="Calibri"/>
          <w:color w:val="000000"/>
        </w:rPr>
        <w:t xml:space="preserve">Content revenues in the first half were £1.4m (2015: £1.1m), </w:t>
      </w:r>
      <w:r w:rsidR="00141706">
        <w:rPr>
          <w:rFonts w:ascii="Calibri" w:hAnsi="Calibri"/>
          <w:color w:val="000000"/>
        </w:rPr>
        <w:t>benefit</w:t>
      </w:r>
      <w:r w:rsidR="00D155A5">
        <w:rPr>
          <w:rFonts w:ascii="Calibri" w:hAnsi="Calibri"/>
          <w:color w:val="000000"/>
        </w:rPr>
        <w:t>t</w:t>
      </w:r>
      <w:r>
        <w:rPr>
          <w:rFonts w:ascii="Calibri" w:hAnsi="Calibri"/>
          <w:color w:val="000000"/>
        </w:rPr>
        <w:t xml:space="preserve">ing from </w:t>
      </w:r>
      <w:r w:rsidR="00141706">
        <w:rPr>
          <w:rFonts w:ascii="Calibri" w:hAnsi="Calibri"/>
          <w:color w:val="000000"/>
        </w:rPr>
        <w:t xml:space="preserve">a contract with a major </w:t>
      </w:r>
      <w:r w:rsidR="00D155A5">
        <w:rPr>
          <w:rFonts w:ascii="Calibri" w:hAnsi="Calibri"/>
          <w:color w:val="000000"/>
        </w:rPr>
        <w:t xml:space="preserve">label </w:t>
      </w:r>
      <w:r w:rsidR="00141706">
        <w:rPr>
          <w:rFonts w:ascii="Calibri" w:hAnsi="Calibri"/>
          <w:color w:val="000000"/>
        </w:rPr>
        <w:t xml:space="preserve">to use 7digital’s platform for the </w:t>
      </w:r>
      <w:r w:rsidR="00D155A5">
        <w:rPr>
          <w:rFonts w:ascii="Calibri" w:hAnsi="Calibri"/>
          <w:color w:val="000000"/>
        </w:rPr>
        <w:t xml:space="preserve">sales of music </w:t>
      </w:r>
      <w:r w:rsidR="00141706">
        <w:rPr>
          <w:rFonts w:ascii="Calibri" w:hAnsi="Calibri"/>
          <w:color w:val="000000"/>
        </w:rPr>
        <w:t>download</w:t>
      </w:r>
      <w:r w:rsidR="00D155A5">
        <w:rPr>
          <w:rFonts w:ascii="Calibri" w:hAnsi="Calibri"/>
          <w:color w:val="000000"/>
        </w:rPr>
        <w:t>s</w:t>
      </w:r>
      <w:r w:rsidR="00141706">
        <w:rPr>
          <w:rFonts w:ascii="Calibri" w:hAnsi="Calibri"/>
          <w:color w:val="000000"/>
        </w:rPr>
        <w:t xml:space="preserve"> direct from </w:t>
      </w:r>
      <w:r w:rsidR="00F46331">
        <w:rPr>
          <w:rFonts w:ascii="Calibri" w:hAnsi="Calibri"/>
          <w:color w:val="000000"/>
        </w:rPr>
        <w:t>an</w:t>
      </w:r>
      <w:r w:rsidR="00141706">
        <w:rPr>
          <w:rFonts w:ascii="Calibri" w:hAnsi="Calibri"/>
          <w:color w:val="000000"/>
        </w:rPr>
        <w:t xml:space="preserve"> artist’s own web-site</w:t>
      </w:r>
      <w:r w:rsidR="008A212F">
        <w:rPr>
          <w:rFonts w:ascii="Calibri" w:hAnsi="Calibri"/>
          <w:color w:val="000000"/>
        </w:rPr>
        <w:t>.  In addition</w:t>
      </w:r>
      <w:r w:rsidR="00891B99">
        <w:rPr>
          <w:rFonts w:ascii="Calibri" w:hAnsi="Calibri"/>
          <w:color w:val="000000"/>
        </w:rPr>
        <w:t xml:space="preserve"> Hi-Res continued to increase as a proportion of Content sales</w:t>
      </w:r>
      <w:r w:rsidR="00D155A5">
        <w:rPr>
          <w:rFonts w:ascii="Calibri" w:hAnsi="Calibri"/>
          <w:color w:val="000000"/>
        </w:rPr>
        <w:t>.</w:t>
      </w:r>
      <w:r w:rsidR="00685A76">
        <w:rPr>
          <w:rFonts w:ascii="Calibri" w:hAnsi="Calibri"/>
          <w:color w:val="000000"/>
        </w:rPr>
        <w:t xml:space="preserve"> </w:t>
      </w:r>
      <w:r w:rsidR="00141706">
        <w:rPr>
          <w:rFonts w:ascii="Calibri" w:hAnsi="Calibri"/>
          <w:color w:val="000000"/>
        </w:rPr>
        <w:t xml:space="preserve">         </w:t>
      </w:r>
    </w:p>
    <w:p w14:paraId="0D474DC6" w14:textId="77777777" w:rsidR="004C0C8A" w:rsidRPr="00337B48" w:rsidRDefault="004C0C8A" w:rsidP="004C0C8A">
      <w:pPr>
        <w:jc w:val="both"/>
        <w:rPr>
          <w:rFonts w:ascii="Calibri" w:hAnsi="Calibri"/>
          <w:b/>
          <w:color w:val="000000"/>
        </w:rPr>
      </w:pPr>
      <w:r w:rsidRPr="00337B48">
        <w:rPr>
          <w:rFonts w:ascii="Calibri" w:hAnsi="Calibri"/>
          <w:b/>
          <w:color w:val="000000"/>
        </w:rPr>
        <w:t>Strengthened Management</w:t>
      </w:r>
    </w:p>
    <w:p w14:paraId="037F6E37" w14:textId="14E75400" w:rsidR="004C0C8A" w:rsidRPr="00337B48" w:rsidRDefault="004C0C8A" w:rsidP="004C0C8A">
      <w:pPr>
        <w:jc w:val="both"/>
        <w:rPr>
          <w:rFonts w:ascii="Calibri" w:hAnsi="Calibri"/>
          <w:color w:val="000000"/>
        </w:rPr>
      </w:pPr>
      <w:r w:rsidRPr="00337B48">
        <w:rPr>
          <w:rFonts w:ascii="Calibri" w:hAnsi="Calibri"/>
          <w:color w:val="000000"/>
        </w:rPr>
        <w:t xml:space="preserve">7digital has continued to strengthen its management team in 2016, most recently with the permanent appointment of Matt Honey as Chief Financial Officer. The Company also announced the appointment of Philippe </w:t>
      </w:r>
      <w:proofErr w:type="spellStart"/>
      <w:r w:rsidRPr="00337B48">
        <w:rPr>
          <w:rFonts w:ascii="Calibri" w:hAnsi="Calibri"/>
          <w:color w:val="000000"/>
        </w:rPr>
        <w:t>Decottignies</w:t>
      </w:r>
      <w:proofErr w:type="spellEnd"/>
      <w:r w:rsidRPr="00337B48">
        <w:rPr>
          <w:rFonts w:ascii="Calibri" w:hAnsi="Calibri"/>
          <w:color w:val="000000"/>
        </w:rPr>
        <w:t xml:space="preserve"> to the position of Chief Technology Officer following the acquisition of Snowite, and Edward Kershaw to the role of Chief Commercial Officer. Pete Downton, previously Chief Commercial Officer, has also been promoted to a newly-created Deputy CEO role.  All bring significant skills and sector experience and will help drive and manage the Group’s sustained growth</w:t>
      </w:r>
      <w:r w:rsidR="00457783">
        <w:rPr>
          <w:rFonts w:ascii="Calibri" w:hAnsi="Calibri"/>
          <w:color w:val="000000"/>
        </w:rPr>
        <w:t>.</w:t>
      </w:r>
      <w:r w:rsidR="00DC659D">
        <w:rPr>
          <w:rFonts w:ascii="Calibri" w:hAnsi="Calibri"/>
          <w:color w:val="000000"/>
        </w:rPr>
        <w:t xml:space="preserve"> </w:t>
      </w:r>
      <w:r w:rsidR="00457783">
        <w:rPr>
          <w:rFonts w:ascii="Calibri" w:hAnsi="Calibri"/>
          <w:color w:val="000000"/>
        </w:rPr>
        <w:t>T</w:t>
      </w:r>
      <w:r w:rsidR="00DC659D">
        <w:rPr>
          <w:rFonts w:ascii="Calibri" w:hAnsi="Calibri"/>
          <w:color w:val="000000"/>
        </w:rPr>
        <w:t xml:space="preserve">he Group has already seen material benefits from these appointments. </w:t>
      </w:r>
    </w:p>
    <w:p w14:paraId="4AB3D9D2" w14:textId="77777777" w:rsidR="004C0C8A" w:rsidRPr="00337B48" w:rsidRDefault="004C0C8A" w:rsidP="004C0C8A">
      <w:pPr>
        <w:jc w:val="both"/>
        <w:rPr>
          <w:rFonts w:ascii="Calibri" w:hAnsi="Calibri"/>
          <w:color w:val="000000"/>
        </w:rPr>
      </w:pPr>
      <w:r w:rsidRPr="00337B48">
        <w:rPr>
          <w:rFonts w:ascii="Calibri" w:hAnsi="Calibri"/>
          <w:b/>
          <w:color w:val="000000"/>
        </w:rPr>
        <w:t>Outlook</w:t>
      </w:r>
    </w:p>
    <w:p w14:paraId="70B81CB6" w14:textId="4B6B4904" w:rsidR="00093AF1" w:rsidRPr="009F7857" w:rsidRDefault="00093AF1" w:rsidP="00093AF1">
      <w:pPr>
        <w:jc w:val="both"/>
        <w:rPr>
          <w:rFonts w:ascii="Calibri" w:hAnsi="Calibri"/>
          <w:color w:val="000000"/>
        </w:rPr>
      </w:pPr>
      <w:r w:rsidRPr="009F7857">
        <w:rPr>
          <w:rFonts w:ascii="Calibri" w:hAnsi="Calibri"/>
          <w:color w:val="000000"/>
        </w:rPr>
        <w:t xml:space="preserve">I am </w:t>
      </w:r>
      <w:r>
        <w:rPr>
          <w:rFonts w:ascii="Calibri" w:hAnsi="Calibri"/>
          <w:color w:val="000000"/>
        </w:rPr>
        <w:t xml:space="preserve">encouraged by </w:t>
      </w:r>
      <w:r w:rsidRPr="009F7857">
        <w:rPr>
          <w:rFonts w:ascii="Calibri" w:hAnsi="Calibri"/>
          <w:color w:val="000000"/>
        </w:rPr>
        <w:t xml:space="preserve">the progress we have made and the momentum we have generated in the first half of 2016. The Group continues to </w:t>
      </w:r>
      <w:r w:rsidR="00006A7F">
        <w:rPr>
          <w:rFonts w:ascii="Calibri" w:hAnsi="Calibri"/>
          <w:color w:val="000000"/>
        </w:rPr>
        <w:t xml:space="preserve">expand </w:t>
      </w:r>
      <w:r w:rsidRPr="009F7857">
        <w:rPr>
          <w:rFonts w:ascii="Calibri" w:hAnsi="Calibri"/>
          <w:color w:val="000000"/>
        </w:rPr>
        <w:t xml:space="preserve">its customer base across an increasing range of geographies and to </w:t>
      </w:r>
      <w:r w:rsidR="00006A7F">
        <w:rPr>
          <w:rFonts w:ascii="Calibri" w:hAnsi="Calibri"/>
          <w:color w:val="000000"/>
        </w:rPr>
        <w:t>grow monthly repeat revenues</w:t>
      </w:r>
      <w:r w:rsidR="00B42180">
        <w:rPr>
          <w:rFonts w:ascii="Calibri" w:hAnsi="Calibri"/>
          <w:color w:val="000000"/>
        </w:rPr>
        <w:t>, improving the quality of its business.</w:t>
      </w:r>
    </w:p>
    <w:p w14:paraId="418007FE" w14:textId="21723AE1" w:rsidR="00791EA7" w:rsidRPr="00FA221F" w:rsidRDefault="00093AF1" w:rsidP="005B634E">
      <w:pPr>
        <w:jc w:val="both"/>
        <w:rPr>
          <w:rFonts w:ascii="Calibri" w:hAnsi="Calibri"/>
          <w:color w:val="000000"/>
        </w:rPr>
      </w:pPr>
      <w:r w:rsidRPr="009F7857">
        <w:rPr>
          <w:rFonts w:ascii="Calibri" w:hAnsi="Calibri"/>
          <w:color w:val="000000"/>
        </w:rPr>
        <w:t xml:space="preserve">The Company has a healthy sales pipeline for the second half of the year and the Board remains confident of </w:t>
      </w:r>
      <w:r w:rsidR="005B634E">
        <w:rPr>
          <w:rFonts w:ascii="Calibri" w:hAnsi="Calibri"/>
          <w:color w:val="000000"/>
        </w:rPr>
        <w:t xml:space="preserve">its commitment to </w:t>
      </w:r>
      <w:r w:rsidRPr="009F7857">
        <w:rPr>
          <w:rFonts w:ascii="Calibri" w:hAnsi="Calibri"/>
          <w:color w:val="000000"/>
        </w:rPr>
        <w:t>achie</w:t>
      </w:r>
      <w:r w:rsidR="005B634E">
        <w:rPr>
          <w:rFonts w:ascii="Calibri" w:hAnsi="Calibri"/>
          <w:color w:val="000000"/>
        </w:rPr>
        <w:t>ve</w:t>
      </w:r>
      <w:r w:rsidRPr="009F7857">
        <w:rPr>
          <w:rFonts w:ascii="Calibri" w:hAnsi="Calibri"/>
          <w:color w:val="000000"/>
        </w:rPr>
        <w:t xml:space="preserve"> profitability by the </w:t>
      </w:r>
      <w:r w:rsidR="00791EA7" w:rsidRPr="00FA221F">
        <w:rPr>
          <w:rFonts w:ascii="Calibri" w:hAnsi="Calibri"/>
          <w:color w:val="000000"/>
        </w:rPr>
        <w:t>year end and expect</w:t>
      </w:r>
      <w:r w:rsidR="005B634E">
        <w:rPr>
          <w:rFonts w:ascii="Calibri" w:hAnsi="Calibri"/>
          <w:color w:val="000000"/>
        </w:rPr>
        <w:t>s</w:t>
      </w:r>
      <w:r w:rsidR="00791EA7" w:rsidRPr="00FA221F">
        <w:rPr>
          <w:rFonts w:ascii="Calibri" w:hAnsi="Calibri"/>
          <w:color w:val="000000"/>
        </w:rPr>
        <w:t xml:space="preserve"> the Group to be profitable for the full year 2017.  </w:t>
      </w:r>
    </w:p>
    <w:p w14:paraId="41B2240F" w14:textId="3A8F39AC" w:rsidR="00093AF1" w:rsidRPr="00FA221F" w:rsidRDefault="005B634E" w:rsidP="00791EA7">
      <w:pPr>
        <w:jc w:val="both"/>
        <w:rPr>
          <w:rFonts w:ascii="Calibri" w:hAnsi="Calibri"/>
          <w:color w:val="000000"/>
        </w:rPr>
      </w:pPr>
      <w:r w:rsidRPr="00AA5B7D">
        <w:rPr>
          <w:rFonts w:ascii="Calibri" w:hAnsi="Calibri"/>
          <w:color w:val="000000"/>
        </w:rPr>
        <w:t xml:space="preserve">It is disappointing that, despite this accelerating progress, </w:t>
      </w:r>
      <w:r>
        <w:rPr>
          <w:rFonts w:ascii="Calibri" w:hAnsi="Calibri"/>
          <w:color w:val="000000"/>
        </w:rPr>
        <w:t xml:space="preserve">the provision for revenues owed to us by Guvera and </w:t>
      </w:r>
      <w:r w:rsidRPr="00AA5B7D">
        <w:rPr>
          <w:rFonts w:ascii="Calibri" w:hAnsi="Calibri"/>
          <w:color w:val="000000"/>
        </w:rPr>
        <w:t xml:space="preserve">slower revenue growth </w:t>
      </w:r>
      <w:r>
        <w:rPr>
          <w:rFonts w:ascii="Calibri" w:hAnsi="Calibri"/>
          <w:color w:val="000000"/>
        </w:rPr>
        <w:t xml:space="preserve">than expected in </w:t>
      </w:r>
      <w:r w:rsidR="00770B37">
        <w:rPr>
          <w:rFonts w:ascii="Calibri" w:hAnsi="Calibri"/>
          <w:color w:val="000000"/>
        </w:rPr>
        <w:t xml:space="preserve">the </w:t>
      </w:r>
      <w:r>
        <w:rPr>
          <w:rFonts w:ascii="Calibri" w:hAnsi="Calibri"/>
          <w:color w:val="000000"/>
        </w:rPr>
        <w:t xml:space="preserve">first </w:t>
      </w:r>
      <w:r w:rsidR="002355CF">
        <w:rPr>
          <w:rFonts w:ascii="Calibri" w:hAnsi="Calibri"/>
          <w:color w:val="000000"/>
        </w:rPr>
        <w:t xml:space="preserve">half overall </w:t>
      </w:r>
      <w:r w:rsidRPr="00AA5B7D">
        <w:rPr>
          <w:rFonts w:ascii="Calibri" w:hAnsi="Calibri"/>
          <w:color w:val="000000"/>
        </w:rPr>
        <w:t xml:space="preserve"> will result in a larger loss this year than we </w:t>
      </w:r>
      <w:r>
        <w:rPr>
          <w:rFonts w:ascii="Calibri" w:hAnsi="Calibri"/>
          <w:color w:val="000000"/>
        </w:rPr>
        <w:t xml:space="preserve">had </w:t>
      </w:r>
      <w:r w:rsidRPr="00AA5B7D">
        <w:rPr>
          <w:rFonts w:ascii="Calibri" w:hAnsi="Calibri"/>
          <w:color w:val="000000"/>
        </w:rPr>
        <w:t>anticipated</w:t>
      </w:r>
      <w:r>
        <w:rPr>
          <w:rFonts w:ascii="Calibri" w:hAnsi="Calibri"/>
          <w:color w:val="000000"/>
        </w:rPr>
        <w:t xml:space="preserve">. </w:t>
      </w:r>
      <w:r w:rsidR="00F931F0" w:rsidRPr="00F931F0">
        <w:rPr>
          <w:rFonts w:ascii="Calibri" w:hAnsi="Calibri"/>
          <w:color w:val="000000"/>
        </w:rPr>
        <w:t>We continue to expect to be broadly EBITDA breakeven in the final quarter of the year</w:t>
      </w:r>
      <w:r w:rsidR="00F931F0">
        <w:rPr>
          <w:rFonts w:ascii="Calibri" w:hAnsi="Calibri"/>
          <w:color w:val="000000"/>
        </w:rPr>
        <w:t>.</w:t>
      </w:r>
    </w:p>
    <w:p w14:paraId="2827428B" w14:textId="77777777" w:rsidR="00F032FF" w:rsidRDefault="00F032FF" w:rsidP="00F032FF">
      <w:pPr>
        <w:pStyle w:val="Header"/>
        <w:rPr>
          <w:b/>
        </w:rPr>
      </w:pPr>
    </w:p>
    <w:p w14:paraId="05308E57" w14:textId="77777777" w:rsidR="00F032FF" w:rsidRDefault="00F032FF" w:rsidP="00F032FF">
      <w:pPr>
        <w:pStyle w:val="Header"/>
        <w:rPr>
          <w:b/>
        </w:rPr>
      </w:pPr>
    </w:p>
    <w:p w14:paraId="2208AE57" w14:textId="77777777" w:rsidR="00F032FF" w:rsidRDefault="00F032FF">
      <w:pPr>
        <w:spacing w:after="160" w:line="259" w:lineRule="auto"/>
        <w:rPr>
          <w:b/>
          <w:sz w:val="22"/>
        </w:rPr>
      </w:pPr>
      <w:r>
        <w:rPr>
          <w:b/>
        </w:rPr>
        <w:br w:type="page"/>
      </w:r>
    </w:p>
    <w:p w14:paraId="3E456926" w14:textId="32D149CB" w:rsidR="00F032FF" w:rsidRPr="004F7E52" w:rsidRDefault="00F032FF" w:rsidP="00F032FF">
      <w:pPr>
        <w:pStyle w:val="Header"/>
        <w:rPr>
          <w:b/>
        </w:rPr>
      </w:pPr>
      <w:r>
        <w:rPr>
          <w:b/>
        </w:rPr>
        <w:lastRenderedPageBreak/>
        <w:t xml:space="preserve">7digital </w:t>
      </w:r>
      <w:r w:rsidRPr="004F7E52">
        <w:rPr>
          <w:b/>
        </w:rPr>
        <w:t>Group plc</w:t>
      </w:r>
    </w:p>
    <w:p w14:paraId="07DF9A18" w14:textId="77777777" w:rsidR="00F032FF" w:rsidRDefault="00F032FF" w:rsidP="00F032FF">
      <w:pPr>
        <w:pStyle w:val="Header"/>
        <w:rPr>
          <w:b/>
        </w:rPr>
      </w:pPr>
      <w:r>
        <w:rPr>
          <w:b/>
        </w:rPr>
        <w:t>Financial review</w:t>
      </w:r>
    </w:p>
    <w:tbl>
      <w:tblPr>
        <w:tblW w:w="9772" w:type="dxa"/>
        <w:tblInd w:w="-34" w:type="dxa"/>
        <w:tblLayout w:type="fixed"/>
        <w:tblLook w:val="04A0" w:firstRow="1" w:lastRow="0" w:firstColumn="1" w:lastColumn="0" w:noHBand="0" w:noVBand="1"/>
      </w:tblPr>
      <w:tblGrid>
        <w:gridCol w:w="4678"/>
        <w:gridCol w:w="1134"/>
        <w:gridCol w:w="1200"/>
        <w:gridCol w:w="520"/>
        <w:gridCol w:w="1120"/>
        <w:gridCol w:w="1120"/>
      </w:tblGrid>
      <w:tr w:rsidR="004A7C08" w:rsidRPr="004A7C08" w14:paraId="7BA98631" w14:textId="77777777" w:rsidTr="004A7C08">
        <w:trPr>
          <w:trHeight w:val="280"/>
        </w:trPr>
        <w:tc>
          <w:tcPr>
            <w:tcW w:w="4678" w:type="dxa"/>
            <w:shd w:val="clear" w:color="000000" w:fill="FFFFFF"/>
            <w:vAlign w:val="center"/>
            <w:hideMark/>
          </w:tcPr>
          <w:p w14:paraId="2BF5D1C3" w14:textId="77777777" w:rsidR="004A7C08" w:rsidRPr="004A7C08" w:rsidRDefault="004A7C08" w:rsidP="004A7C08">
            <w:pPr>
              <w:spacing w:after="0"/>
              <w:rPr>
                <w:rFonts w:asciiTheme="minorHAnsi" w:hAnsiTheme="minorHAnsi"/>
                <w:b/>
                <w:bCs/>
                <w:color w:val="000000"/>
                <w:szCs w:val="18"/>
              </w:rPr>
            </w:pPr>
            <w:r w:rsidRPr="004A7C08">
              <w:rPr>
                <w:rFonts w:asciiTheme="minorHAnsi" w:hAnsiTheme="minorHAnsi"/>
                <w:b/>
                <w:bCs/>
                <w:color w:val="000000"/>
                <w:szCs w:val="18"/>
              </w:rPr>
              <w:t>Results for the six months ending 30 June</w:t>
            </w:r>
          </w:p>
        </w:tc>
        <w:tc>
          <w:tcPr>
            <w:tcW w:w="1134" w:type="dxa"/>
            <w:shd w:val="clear" w:color="000000" w:fill="FFFFFF"/>
            <w:vAlign w:val="center"/>
            <w:hideMark/>
          </w:tcPr>
          <w:p w14:paraId="107CEAC7" w14:textId="77777777" w:rsidR="004A7C08" w:rsidRPr="004A7C08" w:rsidRDefault="004A7C08" w:rsidP="00E7026E">
            <w:pPr>
              <w:spacing w:after="0"/>
              <w:jc w:val="right"/>
              <w:rPr>
                <w:rFonts w:asciiTheme="minorHAnsi" w:hAnsiTheme="minorHAnsi"/>
                <w:b/>
                <w:bCs/>
                <w:color w:val="000000"/>
                <w:szCs w:val="18"/>
              </w:rPr>
            </w:pPr>
            <w:r w:rsidRPr="004A7C08">
              <w:rPr>
                <w:rFonts w:asciiTheme="minorHAnsi" w:hAnsiTheme="minorHAnsi"/>
                <w:b/>
                <w:bCs/>
                <w:color w:val="000000"/>
                <w:szCs w:val="18"/>
              </w:rPr>
              <w:t>2016 £’000</w:t>
            </w:r>
          </w:p>
        </w:tc>
        <w:tc>
          <w:tcPr>
            <w:tcW w:w="1200" w:type="dxa"/>
            <w:shd w:val="clear" w:color="000000" w:fill="FFFFFF"/>
            <w:vAlign w:val="center"/>
            <w:hideMark/>
          </w:tcPr>
          <w:p w14:paraId="23478BF7" w14:textId="77777777" w:rsidR="004A7C08" w:rsidRPr="004A7C08" w:rsidRDefault="004A7C08" w:rsidP="00E7026E">
            <w:pPr>
              <w:spacing w:after="0"/>
              <w:jc w:val="right"/>
              <w:rPr>
                <w:rFonts w:asciiTheme="minorHAnsi" w:hAnsiTheme="minorHAnsi"/>
                <w:b/>
                <w:bCs/>
                <w:color w:val="000000"/>
                <w:szCs w:val="18"/>
              </w:rPr>
            </w:pPr>
            <w:r w:rsidRPr="004A7C08">
              <w:rPr>
                <w:rFonts w:asciiTheme="minorHAnsi" w:hAnsiTheme="minorHAnsi"/>
                <w:b/>
                <w:bCs/>
                <w:color w:val="000000"/>
                <w:szCs w:val="18"/>
              </w:rPr>
              <w:t>2015 £’000</w:t>
            </w:r>
          </w:p>
        </w:tc>
        <w:tc>
          <w:tcPr>
            <w:tcW w:w="520" w:type="dxa"/>
            <w:shd w:val="clear" w:color="000000" w:fill="FFFFFF"/>
            <w:vAlign w:val="center"/>
            <w:hideMark/>
          </w:tcPr>
          <w:p w14:paraId="0AD15B00" w14:textId="77777777" w:rsidR="004A7C08" w:rsidRPr="004A7C08" w:rsidRDefault="004A7C08" w:rsidP="004A7C08">
            <w:pPr>
              <w:spacing w:after="0"/>
              <w:jc w:val="right"/>
              <w:rPr>
                <w:rFonts w:asciiTheme="minorHAnsi" w:hAnsiTheme="minorHAnsi"/>
                <w:b/>
                <w:bCs/>
                <w:color w:val="000000"/>
                <w:szCs w:val="18"/>
              </w:rPr>
            </w:pPr>
            <w:r w:rsidRPr="004A7C08">
              <w:rPr>
                <w:rFonts w:asciiTheme="minorHAnsi" w:hAnsiTheme="minorHAnsi"/>
                <w:b/>
                <w:bCs/>
                <w:color w:val="000000"/>
                <w:szCs w:val="18"/>
              </w:rPr>
              <w:t> </w:t>
            </w:r>
          </w:p>
        </w:tc>
        <w:tc>
          <w:tcPr>
            <w:tcW w:w="1120" w:type="dxa"/>
            <w:shd w:val="clear" w:color="000000" w:fill="FFFFFF"/>
            <w:vAlign w:val="center"/>
            <w:hideMark/>
          </w:tcPr>
          <w:p w14:paraId="1C9CC16E" w14:textId="77777777" w:rsidR="004A7C08" w:rsidRPr="004A7C08" w:rsidRDefault="004A7C08" w:rsidP="00E7026E">
            <w:pPr>
              <w:spacing w:after="0"/>
              <w:jc w:val="right"/>
              <w:rPr>
                <w:rFonts w:asciiTheme="minorHAnsi" w:hAnsiTheme="minorHAnsi"/>
                <w:b/>
                <w:bCs/>
                <w:color w:val="000000"/>
                <w:szCs w:val="18"/>
              </w:rPr>
            </w:pPr>
            <w:r w:rsidRPr="004A7C08">
              <w:rPr>
                <w:rFonts w:asciiTheme="minorHAnsi" w:hAnsiTheme="minorHAnsi"/>
                <w:b/>
                <w:bCs/>
                <w:color w:val="000000"/>
                <w:szCs w:val="18"/>
              </w:rPr>
              <w:t>Change</w:t>
            </w:r>
          </w:p>
        </w:tc>
        <w:tc>
          <w:tcPr>
            <w:tcW w:w="1120" w:type="dxa"/>
            <w:shd w:val="clear" w:color="000000" w:fill="FFFFFF"/>
            <w:vAlign w:val="center"/>
            <w:hideMark/>
          </w:tcPr>
          <w:p w14:paraId="44B555CE" w14:textId="77777777" w:rsidR="004A7C08" w:rsidRPr="004A7C08" w:rsidRDefault="004A7C08" w:rsidP="00E7026E">
            <w:pPr>
              <w:spacing w:after="0"/>
              <w:jc w:val="right"/>
              <w:rPr>
                <w:rFonts w:asciiTheme="minorHAnsi" w:hAnsiTheme="minorHAnsi"/>
                <w:b/>
                <w:bCs/>
                <w:color w:val="000000"/>
                <w:szCs w:val="18"/>
              </w:rPr>
            </w:pPr>
            <w:r w:rsidRPr="004A7C08">
              <w:rPr>
                <w:rFonts w:asciiTheme="minorHAnsi" w:hAnsiTheme="minorHAnsi"/>
                <w:b/>
                <w:bCs/>
                <w:color w:val="000000"/>
                <w:szCs w:val="18"/>
              </w:rPr>
              <w:t>%</w:t>
            </w:r>
          </w:p>
        </w:tc>
      </w:tr>
      <w:tr w:rsidR="004A7C08" w:rsidRPr="004A7C08" w14:paraId="35A71167" w14:textId="77777777" w:rsidTr="004A7C08">
        <w:trPr>
          <w:trHeight w:val="280"/>
        </w:trPr>
        <w:tc>
          <w:tcPr>
            <w:tcW w:w="4678" w:type="dxa"/>
            <w:shd w:val="clear" w:color="000000" w:fill="FFFFFF"/>
            <w:vAlign w:val="center"/>
            <w:hideMark/>
          </w:tcPr>
          <w:p w14:paraId="318DF525"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 </w:t>
            </w:r>
          </w:p>
        </w:tc>
        <w:tc>
          <w:tcPr>
            <w:tcW w:w="1134" w:type="dxa"/>
            <w:shd w:val="clear" w:color="000000" w:fill="FFFFFF"/>
            <w:vAlign w:val="center"/>
            <w:hideMark/>
          </w:tcPr>
          <w:p w14:paraId="2E026349" w14:textId="77777777" w:rsidR="004A7C08" w:rsidRPr="004A7C08" w:rsidRDefault="004A7C08" w:rsidP="004A7C08">
            <w:pPr>
              <w:spacing w:after="0"/>
              <w:jc w:val="right"/>
              <w:rPr>
                <w:rFonts w:asciiTheme="minorHAnsi" w:hAnsiTheme="minorHAnsi"/>
                <w:b/>
                <w:bCs/>
                <w:color w:val="000000"/>
                <w:szCs w:val="18"/>
              </w:rPr>
            </w:pPr>
            <w:r w:rsidRPr="004A7C08">
              <w:rPr>
                <w:rFonts w:asciiTheme="minorHAnsi" w:hAnsiTheme="minorHAnsi"/>
                <w:b/>
                <w:bCs/>
                <w:color w:val="000000"/>
                <w:szCs w:val="18"/>
              </w:rPr>
              <w:t> </w:t>
            </w:r>
          </w:p>
        </w:tc>
        <w:tc>
          <w:tcPr>
            <w:tcW w:w="1200" w:type="dxa"/>
            <w:shd w:val="clear" w:color="000000" w:fill="FFFFFF"/>
            <w:vAlign w:val="center"/>
            <w:hideMark/>
          </w:tcPr>
          <w:p w14:paraId="2CA7AF01" w14:textId="77777777" w:rsidR="004A7C08" w:rsidRPr="004A7C08" w:rsidRDefault="004A7C08" w:rsidP="004A7C08">
            <w:pPr>
              <w:spacing w:after="0"/>
              <w:jc w:val="right"/>
              <w:rPr>
                <w:rFonts w:asciiTheme="minorHAnsi" w:hAnsiTheme="minorHAnsi"/>
                <w:b/>
                <w:bCs/>
                <w:color w:val="000000"/>
                <w:szCs w:val="18"/>
              </w:rPr>
            </w:pPr>
            <w:r w:rsidRPr="004A7C08">
              <w:rPr>
                <w:rFonts w:asciiTheme="minorHAnsi" w:hAnsiTheme="minorHAnsi"/>
                <w:b/>
                <w:bCs/>
                <w:color w:val="000000"/>
                <w:szCs w:val="18"/>
              </w:rPr>
              <w:t> </w:t>
            </w:r>
          </w:p>
        </w:tc>
        <w:tc>
          <w:tcPr>
            <w:tcW w:w="520" w:type="dxa"/>
            <w:shd w:val="clear" w:color="000000" w:fill="FFFFFF"/>
            <w:vAlign w:val="center"/>
            <w:hideMark/>
          </w:tcPr>
          <w:p w14:paraId="37F177C8" w14:textId="77777777" w:rsidR="004A7C08" w:rsidRPr="004A7C08" w:rsidRDefault="004A7C08" w:rsidP="004A7C08">
            <w:pPr>
              <w:spacing w:after="0"/>
              <w:jc w:val="right"/>
              <w:rPr>
                <w:rFonts w:asciiTheme="minorHAnsi" w:hAnsiTheme="minorHAnsi"/>
                <w:b/>
                <w:bCs/>
                <w:color w:val="000000"/>
                <w:szCs w:val="18"/>
              </w:rPr>
            </w:pPr>
            <w:r w:rsidRPr="004A7C08">
              <w:rPr>
                <w:rFonts w:asciiTheme="minorHAnsi" w:hAnsiTheme="minorHAnsi"/>
                <w:b/>
                <w:bCs/>
                <w:color w:val="000000"/>
                <w:szCs w:val="18"/>
              </w:rPr>
              <w:t> </w:t>
            </w:r>
          </w:p>
        </w:tc>
        <w:tc>
          <w:tcPr>
            <w:tcW w:w="1120" w:type="dxa"/>
            <w:shd w:val="clear" w:color="000000" w:fill="FFFFFF"/>
            <w:vAlign w:val="center"/>
            <w:hideMark/>
          </w:tcPr>
          <w:p w14:paraId="458CF2E5" w14:textId="77777777" w:rsidR="004A7C08" w:rsidRPr="004A7C08" w:rsidRDefault="004A7C08" w:rsidP="004A7C08">
            <w:pPr>
              <w:spacing w:after="0"/>
              <w:jc w:val="right"/>
              <w:rPr>
                <w:rFonts w:asciiTheme="minorHAnsi" w:hAnsiTheme="minorHAnsi"/>
                <w:b/>
                <w:bCs/>
                <w:color w:val="000000"/>
                <w:szCs w:val="18"/>
              </w:rPr>
            </w:pPr>
            <w:r w:rsidRPr="004A7C08">
              <w:rPr>
                <w:rFonts w:asciiTheme="minorHAnsi" w:hAnsiTheme="minorHAnsi"/>
                <w:b/>
                <w:bCs/>
                <w:color w:val="000000"/>
                <w:szCs w:val="18"/>
              </w:rPr>
              <w:t> </w:t>
            </w:r>
          </w:p>
        </w:tc>
        <w:tc>
          <w:tcPr>
            <w:tcW w:w="1120" w:type="dxa"/>
            <w:shd w:val="clear" w:color="000000" w:fill="FFFFFF"/>
            <w:vAlign w:val="center"/>
            <w:hideMark/>
          </w:tcPr>
          <w:p w14:paraId="4B4F20B8" w14:textId="77777777" w:rsidR="004A7C08" w:rsidRPr="004A7C08" w:rsidRDefault="004A7C08" w:rsidP="004A7C08">
            <w:pPr>
              <w:spacing w:after="0"/>
              <w:jc w:val="right"/>
              <w:rPr>
                <w:rFonts w:asciiTheme="minorHAnsi" w:hAnsiTheme="minorHAnsi"/>
                <w:b/>
                <w:bCs/>
                <w:color w:val="000000"/>
                <w:szCs w:val="18"/>
              </w:rPr>
            </w:pPr>
            <w:r w:rsidRPr="004A7C08">
              <w:rPr>
                <w:rFonts w:asciiTheme="minorHAnsi" w:hAnsiTheme="minorHAnsi"/>
                <w:b/>
                <w:bCs/>
                <w:color w:val="000000"/>
                <w:szCs w:val="18"/>
              </w:rPr>
              <w:t> </w:t>
            </w:r>
          </w:p>
        </w:tc>
      </w:tr>
      <w:tr w:rsidR="004A7C08" w:rsidRPr="004A7C08" w14:paraId="24E9C6EB" w14:textId="77777777" w:rsidTr="004A7C08">
        <w:trPr>
          <w:trHeight w:val="280"/>
        </w:trPr>
        <w:tc>
          <w:tcPr>
            <w:tcW w:w="4678" w:type="dxa"/>
            <w:shd w:val="clear" w:color="000000" w:fill="FFFFFF"/>
            <w:noWrap/>
            <w:vAlign w:val="center"/>
            <w:hideMark/>
          </w:tcPr>
          <w:p w14:paraId="65537F19"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Revenue</w:t>
            </w:r>
          </w:p>
        </w:tc>
        <w:tc>
          <w:tcPr>
            <w:tcW w:w="1134" w:type="dxa"/>
            <w:shd w:val="clear" w:color="000000" w:fill="FFFFFF"/>
            <w:noWrap/>
            <w:vAlign w:val="center"/>
            <w:hideMark/>
          </w:tcPr>
          <w:p w14:paraId="4F3FC463"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5,247</w:t>
            </w:r>
          </w:p>
        </w:tc>
        <w:tc>
          <w:tcPr>
            <w:tcW w:w="1200" w:type="dxa"/>
            <w:shd w:val="clear" w:color="000000" w:fill="FFFFFF"/>
            <w:noWrap/>
            <w:vAlign w:val="center"/>
            <w:hideMark/>
          </w:tcPr>
          <w:p w14:paraId="5C5DEFCA"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5,153</w:t>
            </w:r>
          </w:p>
        </w:tc>
        <w:tc>
          <w:tcPr>
            <w:tcW w:w="520" w:type="dxa"/>
            <w:shd w:val="clear" w:color="000000" w:fill="FFFFFF"/>
            <w:noWrap/>
            <w:vAlign w:val="center"/>
            <w:hideMark/>
          </w:tcPr>
          <w:p w14:paraId="1AC512D1"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shd w:val="clear" w:color="000000" w:fill="FFFFFF"/>
            <w:noWrap/>
            <w:vAlign w:val="center"/>
            <w:hideMark/>
          </w:tcPr>
          <w:p w14:paraId="156FAE20"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94</w:t>
            </w:r>
          </w:p>
        </w:tc>
        <w:tc>
          <w:tcPr>
            <w:tcW w:w="1120" w:type="dxa"/>
            <w:shd w:val="clear" w:color="000000" w:fill="FFFFFF"/>
            <w:noWrap/>
            <w:vAlign w:val="center"/>
            <w:hideMark/>
          </w:tcPr>
          <w:p w14:paraId="7877BF10"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w:t>
            </w:r>
          </w:p>
        </w:tc>
      </w:tr>
      <w:tr w:rsidR="004A7C08" w:rsidRPr="004A7C08" w14:paraId="7183BD30" w14:textId="77777777" w:rsidTr="004A7C08">
        <w:trPr>
          <w:trHeight w:val="280"/>
        </w:trPr>
        <w:tc>
          <w:tcPr>
            <w:tcW w:w="4678" w:type="dxa"/>
            <w:shd w:val="clear" w:color="000000" w:fill="FFFFFF"/>
            <w:noWrap/>
            <w:vAlign w:val="center"/>
            <w:hideMark/>
          </w:tcPr>
          <w:p w14:paraId="3780F3D2"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Cost of Sales</w:t>
            </w:r>
          </w:p>
        </w:tc>
        <w:tc>
          <w:tcPr>
            <w:tcW w:w="1134" w:type="dxa"/>
            <w:tcBorders>
              <w:bottom w:val="single" w:sz="4" w:space="0" w:color="auto"/>
            </w:tcBorders>
            <w:shd w:val="clear" w:color="000000" w:fill="FFFFFF"/>
            <w:noWrap/>
            <w:vAlign w:val="center"/>
            <w:hideMark/>
          </w:tcPr>
          <w:p w14:paraId="69169FF2"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(1,923)</w:t>
            </w:r>
          </w:p>
        </w:tc>
        <w:tc>
          <w:tcPr>
            <w:tcW w:w="1200" w:type="dxa"/>
            <w:tcBorders>
              <w:bottom w:val="single" w:sz="4" w:space="0" w:color="auto"/>
            </w:tcBorders>
            <w:shd w:val="clear" w:color="000000" w:fill="FFFFFF"/>
            <w:noWrap/>
            <w:vAlign w:val="center"/>
            <w:hideMark/>
          </w:tcPr>
          <w:p w14:paraId="2402ECE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(1,836)</w:t>
            </w:r>
          </w:p>
        </w:tc>
        <w:tc>
          <w:tcPr>
            <w:tcW w:w="520" w:type="dxa"/>
            <w:shd w:val="clear" w:color="000000" w:fill="FFFFFF"/>
            <w:noWrap/>
            <w:vAlign w:val="center"/>
            <w:hideMark/>
          </w:tcPr>
          <w:p w14:paraId="1F46C8D6"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tcBorders>
              <w:bottom w:val="single" w:sz="4" w:space="0" w:color="auto"/>
            </w:tcBorders>
            <w:shd w:val="clear" w:color="000000" w:fill="FFFFFF"/>
            <w:noWrap/>
            <w:vAlign w:val="center"/>
            <w:hideMark/>
          </w:tcPr>
          <w:p w14:paraId="799383B1"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(87)</w:t>
            </w:r>
          </w:p>
        </w:tc>
        <w:tc>
          <w:tcPr>
            <w:tcW w:w="1120" w:type="dxa"/>
            <w:tcBorders>
              <w:bottom w:val="single" w:sz="4" w:space="0" w:color="auto"/>
            </w:tcBorders>
            <w:shd w:val="clear" w:color="000000" w:fill="FFFFFF"/>
            <w:noWrap/>
            <w:vAlign w:val="center"/>
            <w:hideMark/>
          </w:tcPr>
          <w:p w14:paraId="2B302838"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-5%</w:t>
            </w:r>
          </w:p>
        </w:tc>
      </w:tr>
      <w:tr w:rsidR="004A7C08" w:rsidRPr="004A7C08" w14:paraId="55933384" w14:textId="77777777" w:rsidTr="004A7C08">
        <w:trPr>
          <w:trHeight w:val="280"/>
        </w:trPr>
        <w:tc>
          <w:tcPr>
            <w:tcW w:w="4678" w:type="dxa"/>
            <w:shd w:val="clear" w:color="000000" w:fill="FFFFFF"/>
            <w:noWrap/>
            <w:vAlign w:val="center"/>
            <w:hideMark/>
          </w:tcPr>
          <w:p w14:paraId="65FDDA43" w14:textId="77777777" w:rsidR="004A7C08" w:rsidRPr="004A7C08" w:rsidRDefault="004A7C08" w:rsidP="004A7C08">
            <w:pPr>
              <w:spacing w:after="0"/>
              <w:rPr>
                <w:rFonts w:asciiTheme="minorHAnsi" w:hAnsiTheme="minorHAnsi"/>
                <w:b/>
                <w:bCs/>
                <w:color w:val="000000"/>
                <w:szCs w:val="18"/>
              </w:rPr>
            </w:pPr>
            <w:r w:rsidRPr="004A7C08">
              <w:rPr>
                <w:rFonts w:asciiTheme="minorHAnsi" w:hAnsiTheme="minorHAnsi"/>
                <w:b/>
                <w:bCs/>
                <w:color w:val="000000"/>
                <w:szCs w:val="18"/>
              </w:rPr>
              <w:t>Gross profit</w:t>
            </w:r>
          </w:p>
        </w:tc>
        <w:tc>
          <w:tcPr>
            <w:tcW w:w="1134" w:type="dxa"/>
            <w:tcBorders>
              <w:top w:val="single" w:sz="4" w:space="0" w:color="auto"/>
            </w:tcBorders>
            <w:shd w:val="clear" w:color="000000" w:fill="FFFFFF"/>
            <w:noWrap/>
            <w:vAlign w:val="center"/>
            <w:hideMark/>
          </w:tcPr>
          <w:p w14:paraId="56AB380C"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3,324</w:t>
            </w:r>
          </w:p>
        </w:tc>
        <w:tc>
          <w:tcPr>
            <w:tcW w:w="1200" w:type="dxa"/>
            <w:tcBorders>
              <w:top w:val="single" w:sz="4" w:space="0" w:color="auto"/>
            </w:tcBorders>
            <w:shd w:val="clear" w:color="000000" w:fill="FFFFFF"/>
            <w:noWrap/>
            <w:vAlign w:val="center"/>
            <w:hideMark/>
          </w:tcPr>
          <w:p w14:paraId="0191F9EE"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3,317</w:t>
            </w:r>
          </w:p>
        </w:tc>
        <w:tc>
          <w:tcPr>
            <w:tcW w:w="520" w:type="dxa"/>
            <w:shd w:val="clear" w:color="000000" w:fill="FFFFFF"/>
            <w:noWrap/>
            <w:vAlign w:val="center"/>
            <w:hideMark/>
          </w:tcPr>
          <w:p w14:paraId="582DE392"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tcBorders>
              <w:top w:val="single" w:sz="4" w:space="0" w:color="auto"/>
            </w:tcBorders>
            <w:shd w:val="clear" w:color="000000" w:fill="FFFFFF"/>
            <w:noWrap/>
            <w:vAlign w:val="center"/>
            <w:hideMark/>
          </w:tcPr>
          <w:p w14:paraId="73803626"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7</w:t>
            </w:r>
          </w:p>
        </w:tc>
        <w:tc>
          <w:tcPr>
            <w:tcW w:w="1120" w:type="dxa"/>
            <w:tcBorders>
              <w:top w:val="single" w:sz="4" w:space="0" w:color="auto"/>
            </w:tcBorders>
            <w:shd w:val="clear" w:color="000000" w:fill="FFFFFF"/>
            <w:noWrap/>
            <w:vAlign w:val="center"/>
            <w:hideMark/>
          </w:tcPr>
          <w:p w14:paraId="18AA3A81"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0%</w:t>
            </w:r>
          </w:p>
        </w:tc>
      </w:tr>
      <w:tr w:rsidR="004A7C08" w:rsidRPr="004A7C08" w14:paraId="633AE572" w14:textId="77777777" w:rsidTr="004A7C08">
        <w:trPr>
          <w:trHeight w:val="280"/>
        </w:trPr>
        <w:tc>
          <w:tcPr>
            <w:tcW w:w="4678" w:type="dxa"/>
            <w:shd w:val="clear" w:color="000000" w:fill="FFFFFF"/>
            <w:noWrap/>
            <w:vAlign w:val="center"/>
            <w:hideMark/>
          </w:tcPr>
          <w:p w14:paraId="0B2C21D4"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Other operating income</w:t>
            </w:r>
          </w:p>
        </w:tc>
        <w:tc>
          <w:tcPr>
            <w:tcW w:w="1134" w:type="dxa"/>
            <w:shd w:val="clear" w:color="000000" w:fill="FFFFFF"/>
            <w:noWrap/>
            <w:vAlign w:val="center"/>
            <w:hideMark/>
          </w:tcPr>
          <w:p w14:paraId="371A7172"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250</w:t>
            </w:r>
          </w:p>
        </w:tc>
        <w:tc>
          <w:tcPr>
            <w:tcW w:w="1200" w:type="dxa"/>
            <w:shd w:val="clear" w:color="000000" w:fill="FFFFFF"/>
            <w:noWrap/>
            <w:vAlign w:val="center"/>
            <w:hideMark/>
          </w:tcPr>
          <w:p w14:paraId="0C7EFB6F"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455</w:t>
            </w:r>
          </w:p>
        </w:tc>
        <w:tc>
          <w:tcPr>
            <w:tcW w:w="520" w:type="dxa"/>
            <w:shd w:val="clear" w:color="000000" w:fill="FFFFFF"/>
            <w:noWrap/>
            <w:vAlign w:val="center"/>
            <w:hideMark/>
          </w:tcPr>
          <w:p w14:paraId="7E807CB4"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shd w:val="clear" w:color="000000" w:fill="FFFFFF"/>
            <w:noWrap/>
            <w:vAlign w:val="center"/>
            <w:hideMark/>
          </w:tcPr>
          <w:p w14:paraId="223D0C1D"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(205)</w:t>
            </w:r>
          </w:p>
        </w:tc>
        <w:tc>
          <w:tcPr>
            <w:tcW w:w="1120" w:type="dxa"/>
            <w:shd w:val="clear" w:color="000000" w:fill="FFFFFF"/>
            <w:noWrap/>
            <w:vAlign w:val="center"/>
            <w:hideMark/>
          </w:tcPr>
          <w:p w14:paraId="1B067ECB"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-45%</w:t>
            </w:r>
          </w:p>
        </w:tc>
      </w:tr>
      <w:tr w:rsidR="004A7C08" w:rsidRPr="004A7C08" w14:paraId="25BD6CA2" w14:textId="77777777" w:rsidTr="004A7C08">
        <w:trPr>
          <w:trHeight w:val="280"/>
        </w:trPr>
        <w:tc>
          <w:tcPr>
            <w:tcW w:w="4678" w:type="dxa"/>
            <w:shd w:val="clear" w:color="000000" w:fill="FFFFFF"/>
            <w:noWrap/>
            <w:vAlign w:val="center"/>
            <w:hideMark/>
          </w:tcPr>
          <w:p w14:paraId="65812CFD" w14:textId="77777777" w:rsidR="004A7C08" w:rsidRPr="004A7C08" w:rsidRDefault="004A7C08" w:rsidP="004A7C08">
            <w:pPr>
              <w:spacing w:after="0"/>
              <w:ind w:left="-108" w:firstLine="108"/>
              <w:rPr>
                <w:rFonts w:asciiTheme="minorHAnsi" w:hAnsiTheme="minorHAnsi"/>
                <w:color w:val="000000"/>
                <w:szCs w:val="18"/>
              </w:rPr>
            </w:pPr>
            <w:r w:rsidRPr="004A7C08">
              <w:rPr>
                <w:rFonts w:asciiTheme="minorHAnsi" w:hAnsiTheme="minorHAnsi"/>
                <w:color w:val="000000"/>
                <w:szCs w:val="18"/>
              </w:rPr>
              <w:t>Other administration expenses</w:t>
            </w:r>
          </w:p>
        </w:tc>
        <w:tc>
          <w:tcPr>
            <w:tcW w:w="1134" w:type="dxa"/>
            <w:tcBorders>
              <w:bottom w:val="single" w:sz="4" w:space="0" w:color="auto"/>
            </w:tcBorders>
            <w:shd w:val="clear" w:color="000000" w:fill="FFFFFF"/>
            <w:noWrap/>
            <w:vAlign w:val="center"/>
            <w:hideMark/>
          </w:tcPr>
          <w:p w14:paraId="27A7D94D"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(6,398)</w:t>
            </w:r>
          </w:p>
        </w:tc>
        <w:tc>
          <w:tcPr>
            <w:tcW w:w="1200" w:type="dxa"/>
            <w:tcBorders>
              <w:bottom w:val="single" w:sz="4" w:space="0" w:color="auto"/>
            </w:tcBorders>
            <w:shd w:val="clear" w:color="000000" w:fill="FFFFFF"/>
            <w:noWrap/>
            <w:vAlign w:val="center"/>
            <w:hideMark/>
          </w:tcPr>
          <w:p w14:paraId="6D482E52"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(5,093)</w:t>
            </w:r>
          </w:p>
        </w:tc>
        <w:tc>
          <w:tcPr>
            <w:tcW w:w="520" w:type="dxa"/>
            <w:shd w:val="clear" w:color="000000" w:fill="FFFFFF"/>
            <w:noWrap/>
            <w:vAlign w:val="center"/>
            <w:hideMark/>
          </w:tcPr>
          <w:p w14:paraId="0525E758"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tcBorders>
              <w:bottom w:val="single" w:sz="4" w:space="0" w:color="auto"/>
            </w:tcBorders>
            <w:shd w:val="clear" w:color="000000" w:fill="FFFFFF"/>
            <w:noWrap/>
            <w:vAlign w:val="center"/>
            <w:hideMark/>
          </w:tcPr>
          <w:p w14:paraId="1A28CFA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(1,305)</w:t>
            </w:r>
          </w:p>
        </w:tc>
        <w:tc>
          <w:tcPr>
            <w:tcW w:w="1120" w:type="dxa"/>
            <w:tcBorders>
              <w:bottom w:val="single" w:sz="4" w:space="0" w:color="auto"/>
            </w:tcBorders>
            <w:shd w:val="clear" w:color="000000" w:fill="FFFFFF"/>
            <w:noWrap/>
            <w:vAlign w:val="center"/>
            <w:hideMark/>
          </w:tcPr>
          <w:p w14:paraId="2AB2BB0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-26%</w:t>
            </w:r>
          </w:p>
        </w:tc>
      </w:tr>
      <w:tr w:rsidR="004A7C08" w:rsidRPr="004A7C08" w14:paraId="09627152" w14:textId="77777777" w:rsidTr="004A7C08">
        <w:trPr>
          <w:trHeight w:val="280"/>
        </w:trPr>
        <w:tc>
          <w:tcPr>
            <w:tcW w:w="4678" w:type="dxa"/>
            <w:shd w:val="clear" w:color="000000" w:fill="FFFFFF"/>
            <w:noWrap/>
            <w:vAlign w:val="center"/>
            <w:hideMark/>
          </w:tcPr>
          <w:p w14:paraId="6EFD5712" w14:textId="77777777" w:rsidR="004A7C08" w:rsidRPr="004A7C08" w:rsidRDefault="004A7C08" w:rsidP="004A7C08">
            <w:pPr>
              <w:spacing w:after="0"/>
              <w:rPr>
                <w:rFonts w:asciiTheme="minorHAnsi" w:hAnsiTheme="minorHAnsi"/>
                <w:b/>
                <w:bCs/>
                <w:color w:val="000000"/>
                <w:szCs w:val="18"/>
              </w:rPr>
            </w:pPr>
            <w:r w:rsidRPr="004A7C08">
              <w:rPr>
                <w:rFonts w:asciiTheme="minorHAnsi" w:hAnsiTheme="minorHAnsi"/>
                <w:b/>
                <w:bCs/>
                <w:color w:val="000000"/>
                <w:szCs w:val="18"/>
              </w:rPr>
              <w:t>Adjusted LBITDA</w:t>
            </w:r>
          </w:p>
        </w:tc>
        <w:tc>
          <w:tcPr>
            <w:tcW w:w="1134" w:type="dxa"/>
            <w:tcBorders>
              <w:top w:val="single" w:sz="4" w:space="0" w:color="auto"/>
            </w:tcBorders>
            <w:shd w:val="clear" w:color="000000" w:fill="FFFFFF"/>
            <w:noWrap/>
            <w:vAlign w:val="center"/>
            <w:hideMark/>
          </w:tcPr>
          <w:p w14:paraId="08022DAD"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(2,824)</w:t>
            </w:r>
          </w:p>
        </w:tc>
        <w:tc>
          <w:tcPr>
            <w:tcW w:w="1200" w:type="dxa"/>
            <w:tcBorders>
              <w:top w:val="single" w:sz="4" w:space="0" w:color="auto"/>
            </w:tcBorders>
            <w:shd w:val="clear" w:color="000000" w:fill="FFFFFF"/>
            <w:noWrap/>
            <w:vAlign w:val="center"/>
            <w:hideMark/>
          </w:tcPr>
          <w:p w14:paraId="569EFB1F"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(1,321)</w:t>
            </w:r>
          </w:p>
        </w:tc>
        <w:tc>
          <w:tcPr>
            <w:tcW w:w="520" w:type="dxa"/>
            <w:shd w:val="clear" w:color="000000" w:fill="FFFFFF"/>
            <w:noWrap/>
            <w:vAlign w:val="center"/>
            <w:hideMark/>
          </w:tcPr>
          <w:p w14:paraId="2C14B3B9"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tcBorders>
              <w:top w:val="single" w:sz="4" w:space="0" w:color="auto"/>
            </w:tcBorders>
            <w:shd w:val="clear" w:color="000000" w:fill="FFFFFF"/>
            <w:noWrap/>
            <w:vAlign w:val="center"/>
            <w:hideMark/>
          </w:tcPr>
          <w:p w14:paraId="313F836B"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(1,503)</w:t>
            </w:r>
          </w:p>
        </w:tc>
        <w:tc>
          <w:tcPr>
            <w:tcW w:w="1120" w:type="dxa"/>
            <w:tcBorders>
              <w:top w:val="single" w:sz="4" w:space="0" w:color="auto"/>
            </w:tcBorders>
            <w:shd w:val="clear" w:color="000000" w:fill="FFFFFF"/>
            <w:noWrap/>
            <w:vAlign w:val="center"/>
            <w:hideMark/>
          </w:tcPr>
          <w:p w14:paraId="6CA17716"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-114%</w:t>
            </w:r>
          </w:p>
        </w:tc>
      </w:tr>
      <w:tr w:rsidR="004A7C08" w:rsidRPr="004A7C08" w14:paraId="2BA89B97" w14:textId="77777777" w:rsidTr="004A7C08">
        <w:trPr>
          <w:trHeight w:val="280"/>
        </w:trPr>
        <w:tc>
          <w:tcPr>
            <w:tcW w:w="4678" w:type="dxa"/>
            <w:shd w:val="clear" w:color="000000" w:fill="FFFFFF"/>
            <w:noWrap/>
            <w:vAlign w:val="center"/>
            <w:hideMark/>
          </w:tcPr>
          <w:p w14:paraId="20A200AD"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Depreciation</w:t>
            </w:r>
          </w:p>
        </w:tc>
        <w:tc>
          <w:tcPr>
            <w:tcW w:w="1134" w:type="dxa"/>
            <w:tcBorders>
              <w:bottom w:val="single" w:sz="4" w:space="0" w:color="auto"/>
            </w:tcBorders>
            <w:shd w:val="clear" w:color="000000" w:fill="FFFFFF"/>
            <w:noWrap/>
            <w:vAlign w:val="center"/>
            <w:hideMark/>
          </w:tcPr>
          <w:p w14:paraId="0200B4EF"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(451)</w:t>
            </w:r>
          </w:p>
        </w:tc>
        <w:tc>
          <w:tcPr>
            <w:tcW w:w="1200" w:type="dxa"/>
            <w:tcBorders>
              <w:bottom w:val="single" w:sz="4" w:space="0" w:color="auto"/>
            </w:tcBorders>
            <w:shd w:val="clear" w:color="000000" w:fill="FFFFFF"/>
            <w:noWrap/>
            <w:vAlign w:val="center"/>
            <w:hideMark/>
          </w:tcPr>
          <w:p w14:paraId="7029DE42"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(381)</w:t>
            </w:r>
          </w:p>
        </w:tc>
        <w:tc>
          <w:tcPr>
            <w:tcW w:w="520" w:type="dxa"/>
            <w:shd w:val="clear" w:color="000000" w:fill="FFFFFF"/>
            <w:noWrap/>
            <w:vAlign w:val="center"/>
            <w:hideMark/>
          </w:tcPr>
          <w:p w14:paraId="114074FB"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tcBorders>
              <w:bottom w:val="single" w:sz="4" w:space="0" w:color="auto"/>
            </w:tcBorders>
            <w:shd w:val="clear" w:color="000000" w:fill="FFFFFF"/>
            <w:noWrap/>
            <w:vAlign w:val="center"/>
            <w:hideMark/>
          </w:tcPr>
          <w:p w14:paraId="70D4740F"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(70)</w:t>
            </w:r>
          </w:p>
        </w:tc>
        <w:tc>
          <w:tcPr>
            <w:tcW w:w="1120" w:type="dxa"/>
            <w:tcBorders>
              <w:bottom w:val="single" w:sz="4" w:space="0" w:color="auto"/>
            </w:tcBorders>
            <w:shd w:val="clear" w:color="000000" w:fill="FFFFFF"/>
            <w:noWrap/>
            <w:vAlign w:val="center"/>
            <w:hideMark/>
          </w:tcPr>
          <w:p w14:paraId="21754A1A"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-18%</w:t>
            </w:r>
          </w:p>
        </w:tc>
      </w:tr>
      <w:tr w:rsidR="004A7C08" w:rsidRPr="004A7C08" w14:paraId="0C04709C" w14:textId="77777777" w:rsidTr="004A7C08">
        <w:trPr>
          <w:trHeight w:val="280"/>
        </w:trPr>
        <w:tc>
          <w:tcPr>
            <w:tcW w:w="4678" w:type="dxa"/>
            <w:shd w:val="clear" w:color="000000" w:fill="FFFFFF"/>
            <w:noWrap/>
            <w:vAlign w:val="center"/>
            <w:hideMark/>
          </w:tcPr>
          <w:p w14:paraId="7E65C904" w14:textId="77777777" w:rsidR="004A7C08" w:rsidRPr="004A7C08" w:rsidRDefault="004A7C08" w:rsidP="004A7C08">
            <w:pPr>
              <w:spacing w:after="0"/>
              <w:rPr>
                <w:rFonts w:asciiTheme="minorHAnsi" w:hAnsiTheme="minorHAnsi"/>
                <w:b/>
                <w:bCs/>
                <w:color w:val="000000"/>
                <w:szCs w:val="18"/>
              </w:rPr>
            </w:pPr>
            <w:r w:rsidRPr="004A7C08">
              <w:rPr>
                <w:rFonts w:asciiTheme="minorHAnsi" w:hAnsiTheme="minorHAnsi"/>
                <w:b/>
                <w:bCs/>
                <w:color w:val="000000"/>
                <w:szCs w:val="18"/>
              </w:rPr>
              <w:t>Adjusted operating loss</w:t>
            </w:r>
          </w:p>
        </w:tc>
        <w:tc>
          <w:tcPr>
            <w:tcW w:w="1134" w:type="dxa"/>
            <w:tcBorders>
              <w:top w:val="single" w:sz="4" w:space="0" w:color="auto"/>
            </w:tcBorders>
            <w:shd w:val="clear" w:color="000000" w:fill="FFFFFF"/>
            <w:noWrap/>
            <w:vAlign w:val="center"/>
            <w:hideMark/>
          </w:tcPr>
          <w:p w14:paraId="21DDA481"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(3,275)</w:t>
            </w:r>
          </w:p>
        </w:tc>
        <w:tc>
          <w:tcPr>
            <w:tcW w:w="1200" w:type="dxa"/>
            <w:tcBorders>
              <w:top w:val="single" w:sz="4" w:space="0" w:color="auto"/>
            </w:tcBorders>
            <w:shd w:val="clear" w:color="000000" w:fill="FFFFFF"/>
            <w:noWrap/>
            <w:vAlign w:val="center"/>
            <w:hideMark/>
          </w:tcPr>
          <w:p w14:paraId="4EFC9AB1"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(1,702)</w:t>
            </w:r>
          </w:p>
        </w:tc>
        <w:tc>
          <w:tcPr>
            <w:tcW w:w="520" w:type="dxa"/>
            <w:shd w:val="clear" w:color="000000" w:fill="FFFFFF"/>
            <w:noWrap/>
            <w:vAlign w:val="center"/>
            <w:hideMark/>
          </w:tcPr>
          <w:p w14:paraId="4BC74A1F"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tcBorders>
              <w:top w:val="single" w:sz="4" w:space="0" w:color="auto"/>
            </w:tcBorders>
            <w:shd w:val="clear" w:color="000000" w:fill="FFFFFF"/>
            <w:noWrap/>
            <w:vAlign w:val="center"/>
            <w:hideMark/>
          </w:tcPr>
          <w:p w14:paraId="37736E97"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(1,573)</w:t>
            </w:r>
          </w:p>
        </w:tc>
        <w:tc>
          <w:tcPr>
            <w:tcW w:w="1120" w:type="dxa"/>
            <w:tcBorders>
              <w:top w:val="single" w:sz="4" w:space="0" w:color="auto"/>
            </w:tcBorders>
            <w:shd w:val="clear" w:color="000000" w:fill="FFFFFF"/>
            <w:noWrap/>
            <w:vAlign w:val="center"/>
            <w:hideMark/>
          </w:tcPr>
          <w:p w14:paraId="62665CD6"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-92%</w:t>
            </w:r>
          </w:p>
        </w:tc>
      </w:tr>
      <w:tr w:rsidR="004A7C08" w:rsidRPr="004A7C08" w14:paraId="318C5DD6" w14:textId="77777777" w:rsidTr="004A7C08">
        <w:trPr>
          <w:trHeight w:val="280"/>
        </w:trPr>
        <w:tc>
          <w:tcPr>
            <w:tcW w:w="4678" w:type="dxa"/>
            <w:shd w:val="clear" w:color="000000" w:fill="FFFFFF"/>
            <w:noWrap/>
            <w:vAlign w:val="center"/>
            <w:hideMark/>
          </w:tcPr>
          <w:p w14:paraId="2160D59C"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Share based payments</w:t>
            </w:r>
          </w:p>
        </w:tc>
        <w:tc>
          <w:tcPr>
            <w:tcW w:w="1134" w:type="dxa"/>
            <w:shd w:val="clear" w:color="000000" w:fill="FFFFFF"/>
            <w:noWrap/>
            <w:vAlign w:val="center"/>
            <w:hideMark/>
          </w:tcPr>
          <w:p w14:paraId="1AEF7959"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16</w:t>
            </w:r>
          </w:p>
        </w:tc>
        <w:tc>
          <w:tcPr>
            <w:tcW w:w="1200" w:type="dxa"/>
            <w:shd w:val="clear" w:color="000000" w:fill="FFFFFF"/>
            <w:noWrap/>
            <w:vAlign w:val="center"/>
            <w:hideMark/>
          </w:tcPr>
          <w:p w14:paraId="700EFD3B"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(73)</w:t>
            </w:r>
          </w:p>
        </w:tc>
        <w:tc>
          <w:tcPr>
            <w:tcW w:w="520" w:type="dxa"/>
            <w:shd w:val="clear" w:color="000000" w:fill="FFFFFF"/>
            <w:noWrap/>
            <w:vAlign w:val="center"/>
            <w:hideMark/>
          </w:tcPr>
          <w:p w14:paraId="0A15BF97"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shd w:val="clear" w:color="000000" w:fill="FFFFFF"/>
            <w:noWrap/>
            <w:vAlign w:val="center"/>
            <w:hideMark/>
          </w:tcPr>
          <w:p w14:paraId="7F63C0C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89</w:t>
            </w:r>
          </w:p>
        </w:tc>
        <w:tc>
          <w:tcPr>
            <w:tcW w:w="1120" w:type="dxa"/>
            <w:shd w:val="clear" w:color="000000" w:fill="FFFFFF"/>
            <w:noWrap/>
            <w:vAlign w:val="center"/>
            <w:hideMark/>
          </w:tcPr>
          <w:p w14:paraId="30E73942"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122%</w:t>
            </w:r>
          </w:p>
        </w:tc>
      </w:tr>
      <w:tr w:rsidR="004A7C08" w:rsidRPr="004A7C08" w14:paraId="10DFCC74" w14:textId="77777777" w:rsidTr="004A7C08">
        <w:trPr>
          <w:trHeight w:val="280"/>
        </w:trPr>
        <w:tc>
          <w:tcPr>
            <w:tcW w:w="4678" w:type="dxa"/>
            <w:shd w:val="clear" w:color="000000" w:fill="FFFFFF"/>
            <w:noWrap/>
            <w:vAlign w:val="center"/>
            <w:hideMark/>
          </w:tcPr>
          <w:p w14:paraId="70F8B1CE"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Exceptional items</w:t>
            </w:r>
          </w:p>
        </w:tc>
        <w:tc>
          <w:tcPr>
            <w:tcW w:w="1134" w:type="dxa"/>
            <w:tcBorders>
              <w:bottom w:val="single" w:sz="4" w:space="0" w:color="auto"/>
            </w:tcBorders>
            <w:shd w:val="clear" w:color="000000" w:fill="FFFFFF"/>
            <w:noWrap/>
            <w:vAlign w:val="center"/>
            <w:hideMark/>
          </w:tcPr>
          <w:p w14:paraId="0FCA2E97"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(116)</w:t>
            </w:r>
          </w:p>
        </w:tc>
        <w:tc>
          <w:tcPr>
            <w:tcW w:w="1200" w:type="dxa"/>
            <w:tcBorders>
              <w:bottom w:val="single" w:sz="4" w:space="0" w:color="auto"/>
            </w:tcBorders>
            <w:shd w:val="clear" w:color="000000" w:fill="FFFFFF"/>
            <w:noWrap/>
            <w:vAlign w:val="center"/>
            <w:hideMark/>
          </w:tcPr>
          <w:p w14:paraId="5A6A08FB"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(66)</w:t>
            </w:r>
          </w:p>
        </w:tc>
        <w:tc>
          <w:tcPr>
            <w:tcW w:w="520" w:type="dxa"/>
            <w:shd w:val="clear" w:color="000000" w:fill="FFFFFF"/>
            <w:noWrap/>
            <w:vAlign w:val="center"/>
            <w:hideMark/>
          </w:tcPr>
          <w:p w14:paraId="30E772E1"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 </w:t>
            </w:r>
          </w:p>
        </w:tc>
        <w:tc>
          <w:tcPr>
            <w:tcW w:w="1120" w:type="dxa"/>
            <w:tcBorders>
              <w:bottom w:val="single" w:sz="4" w:space="0" w:color="auto"/>
            </w:tcBorders>
            <w:shd w:val="clear" w:color="000000" w:fill="FFFFFF"/>
            <w:noWrap/>
            <w:vAlign w:val="center"/>
            <w:hideMark/>
          </w:tcPr>
          <w:p w14:paraId="3A2EF89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(50)</w:t>
            </w:r>
          </w:p>
        </w:tc>
        <w:tc>
          <w:tcPr>
            <w:tcW w:w="1120" w:type="dxa"/>
            <w:tcBorders>
              <w:bottom w:val="single" w:sz="4" w:space="0" w:color="auto"/>
            </w:tcBorders>
            <w:shd w:val="clear" w:color="000000" w:fill="FFFFFF"/>
            <w:noWrap/>
            <w:vAlign w:val="center"/>
            <w:hideMark/>
          </w:tcPr>
          <w:p w14:paraId="3703339D"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-76%</w:t>
            </w:r>
          </w:p>
        </w:tc>
      </w:tr>
      <w:tr w:rsidR="004A7C08" w:rsidRPr="004A7C08" w14:paraId="37A3A3F2" w14:textId="77777777" w:rsidTr="004A7C08">
        <w:trPr>
          <w:trHeight w:val="280"/>
        </w:trPr>
        <w:tc>
          <w:tcPr>
            <w:tcW w:w="4678" w:type="dxa"/>
            <w:shd w:val="clear" w:color="000000" w:fill="FFFFFF"/>
            <w:noWrap/>
            <w:vAlign w:val="center"/>
            <w:hideMark/>
          </w:tcPr>
          <w:p w14:paraId="74B33D61" w14:textId="77777777" w:rsidR="004A7C08" w:rsidRPr="004A7C08" w:rsidRDefault="004A7C08" w:rsidP="004A7C08">
            <w:pPr>
              <w:spacing w:after="0"/>
              <w:rPr>
                <w:rFonts w:asciiTheme="minorHAnsi" w:hAnsiTheme="minorHAnsi"/>
                <w:b/>
                <w:bCs/>
                <w:color w:val="000000"/>
                <w:szCs w:val="18"/>
              </w:rPr>
            </w:pPr>
            <w:r w:rsidRPr="004A7C08">
              <w:rPr>
                <w:rFonts w:asciiTheme="minorHAnsi" w:hAnsiTheme="minorHAnsi"/>
                <w:b/>
                <w:bCs/>
                <w:color w:val="000000"/>
                <w:szCs w:val="18"/>
              </w:rPr>
              <w:t>Operating loss</w:t>
            </w:r>
          </w:p>
        </w:tc>
        <w:tc>
          <w:tcPr>
            <w:tcW w:w="1134" w:type="dxa"/>
            <w:tcBorders>
              <w:top w:val="single" w:sz="4" w:space="0" w:color="auto"/>
            </w:tcBorders>
            <w:shd w:val="clear" w:color="000000" w:fill="FFFFFF"/>
            <w:noWrap/>
            <w:vAlign w:val="center"/>
            <w:hideMark/>
          </w:tcPr>
          <w:p w14:paraId="1B4697C5"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(3,375)</w:t>
            </w:r>
          </w:p>
        </w:tc>
        <w:tc>
          <w:tcPr>
            <w:tcW w:w="1200" w:type="dxa"/>
            <w:tcBorders>
              <w:top w:val="single" w:sz="4" w:space="0" w:color="auto"/>
            </w:tcBorders>
            <w:shd w:val="clear" w:color="000000" w:fill="FFFFFF"/>
            <w:noWrap/>
            <w:vAlign w:val="center"/>
            <w:hideMark/>
          </w:tcPr>
          <w:p w14:paraId="7E3918D6"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(1,841)</w:t>
            </w:r>
          </w:p>
        </w:tc>
        <w:tc>
          <w:tcPr>
            <w:tcW w:w="520" w:type="dxa"/>
            <w:shd w:val="clear" w:color="000000" w:fill="FFFFFF"/>
            <w:noWrap/>
            <w:vAlign w:val="center"/>
            <w:hideMark/>
          </w:tcPr>
          <w:p w14:paraId="6F7AB363"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tcBorders>
              <w:top w:val="single" w:sz="4" w:space="0" w:color="auto"/>
            </w:tcBorders>
            <w:shd w:val="clear" w:color="000000" w:fill="FFFFFF"/>
            <w:noWrap/>
            <w:vAlign w:val="center"/>
            <w:hideMark/>
          </w:tcPr>
          <w:p w14:paraId="5140E1AA"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(1,534)</w:t>
            </w:r>
          </w:p>
        </w:tc>
        <w:tc>
          <w:tcPr>
            <w:tcW w:w="1120" w:type="dxa"/>
            <w:tcBorders>
              <w:top w:val="single" w:sz="4" w:space="0" w:color="auto"/>
            </w:tcBorders>
            <w:shd w:val="clear" w:color="000000" w:fill="FFFFFF"/>
            <w:noWrap/>
            <w:vAlign w:val="center"/>
            <w:hideMark/>
          </w:tcPr>
          <w:p w14:paraId="411E049C"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-83%</w:t>
            </w:r>
          </w:p>
        </w:tc>
      </w:tr>
      <w:tr w:rsidR="004A7C08" w:rsidRPr="004A7C08" w14:paraId="2EA280C7" w14:textId="77777777" w:rsidTr="004A7C08">
        <w:trPr>
          <w:trHeight w:val="280"/>
        </w:trPr>
        <w:tc>
          <w:tcPr>
            <w:tcW w:w="4678" w:type="dxa"/>
            <w:shd w:val="clear" w:color="000000" w:fill="FFFFFF"/>
            <w:noWrap/>
            <w:vAlign w:val="center"/>
            <w:hideMark/>
          </w:tcPr>
          <w:p w14:paraId="1BD55B80"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Other gains and losses</w:t>
            </w:r>
          </w:p>
        </w:tc>
        <w:tc>
          <w:tcPr>
            <w:tcW w:w="1134" w:type="dxa"/>
            <w:shd w:val="clear" w:color="000000" w:fill="FFFFFF"/>
            <w:noWrap/>
            <w:vAlign w:val="center"/>
            <w:hideMark/>
          </w:tcPr>
          <w:p w14:paraId="6323F62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w:t>
            </w:r>
          </w:p>
        </w:tc>
        <w:tc>
          <w:tcPr>
            <w:tcW w:w="1200" w:type="dxa"/>
            <w:shd w:val="clear" w:color="000000" w:fill="FFFFFF"/>
            <w:noWrap/>
            <w:vAlign w:val="center"/>
            <w:hideMark/>
          </w:tcPr>
          <w:p w14:paraId="75A6CF91"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(4,757)</w:t>
            </w:r>
          </w:p>
        </w:tc>
        <w:tc>
          <w:tcPr>
            <w:tcW w:w="520" w:type="dxa"/>
            <w:shd w:val="clear" w:color="000000" w:fill="FFFFFF"/>
            <w:noWrap/>
            <w:vAlign w:val="center"/>
            <w:hideMark/>
          </w:tcPr>
          <w:p w14:paraId="1B75DD9F"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shd w:val="clear" w:color="000000" w:fill="FFFFFF"/>
            <w:noWrap/>
            <w:vAlign w:val="center"/>
            <w:hideMark/>
          </w:tcPr>
          <w:p w14:paraId="13C3DEA0"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4,757</w:t>
            </w:r>
          </w:p>
        </w:tc>
        <w:tc>
          <w:tcPr>
            <w:tcW w:w="1120" w:type="dxa"/>
            <w:shd w:val="clear" w:color="000000" w:fill="FFFFFF"/>
            <w:noWrap/>
            <w:vAlign w:val="center"/>
            <w:hideMark/>
          </w:tcPr>
          <w:p w14:paraId="5C406D00"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100%</w:t>
            </w:r>
          </w:p>
        </w:tc>
      </w:tr>
      <w:tr w:rsidR="004A7C08" w:rsidRPr="004A7C08" w14:paraId="329795BE" w14:textId="77777777" w:rsidTr="004A7C08">
        <w:trPr>
          <w:trHeight w:val="280"/>
        </w:trPr>
        <w:tc>
          <w:tcPr>
            <w:tcW w:w="4678" w:type="dxa"/>
            <w:shd w:val="clear" w:color="000000" w:fill="FFFFFF"/>
            <w:noWrap/>
            <w:vAlign w:val="center"/>
            <w:hideMark/>
          </w:tcPr>
          <w:p w14:paraId="2B331BB9"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Taxation on continuing operations</w:t>
            </w:r>
          </w:p>
        </w:tc>
        <w:tc>
          <w:tcPr>
            <w:tcW w:w="1134" w:type="dxa"/>
            <w:shd w:val="clear" w:color="000000" w:fill="FFFFFF"/>
            <w:noWrap/>
            <w:vAlign w:val="center"/>
            <w:hideMark/>
          </w:tcPr>
          <w:p w14:paraId="62BB6258"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(46)</w:t>
            </w:r>
          </w:p>
        </w:tc>
        <w:tc>
          <w:tcPr>
            <w:tcW w:w="1200" w:type="dxa"/>
            <w:shd w:val="clear" w:color="000000" w:fill="FFFFFF"/>
            <w:noWrap/>
            <w:vAlign w:val="center"/>
            <w:hideMark/>
          </w:tcPr>
          <w:p w14:paraId="49B8B783"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(10)</w:t>
            </w:r>
          </w:p>
        </w:tc>
        <w:tc>
          <w:tcPr>
            <w:tcW w:w="520" w:type="dxa"/>
            <w:shd w:val="clear" w:color="000000" w:fill="FFFFFF"/>
            <w:noWrap/>
            <w:vAlign w:val="center"/>
            <w:hideMark/>
          </w:tcPr>
          <w:p w14:paraId="4E650BDC"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shd w:val="clear" w:color="000000" w:fill="FFFFFF"/>
            <w:noWrap/>
            <w:vAlign w:val="center"/>
            <w:hideMark/>
          </w:tcPr>
          <w:p w14:paraId="1584C6A6"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(36)</w:t>
            </w:r>
          </w:p>
        </w:tc>
        <w:tc>
          <w:tcPr>
            <w:tcW w:w="1120" w:type="dxa"/>
            <w:shd w:val="clear" w:color="000000" w:fill="FFFFFF"/>
            <w:noWrap/>
            <w:vAlign w:val="center"/>
            <w:hideMark/>
          </w:tcPr>
          <w:p w14:paraId="21C58BF9"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-360%</w:t>
            </w:r>
          </w:p>
        </w:tc>
      </w:tr>
      <w:tr w:rsidR="004A7C08" w:rsidRPr="004A7C08" w14:paraId="18A437B7" w14:textId="77777777" w:rsidTr="004A7C08">
        <w:trPr>
          <w:trHeight w:val="280"/>
        </w:trPr>
        <w:tc>
          <w:tcPr>
            <w:tcW w:w="4678" w:type="dxa"/>
            <w:shd w:val="clear" w:color="000000" w:fill="FFFFFF"/>
            <w:noWrap/>
            <w:vAlign w:val="center"/>
            <w:hideMark/>
          </w:tcPr>
          <w:p w14:paraId="7C585C08" w14:textId="77777777" w:rsidR="004A7C08" w:rsidRPr="004A7C08" w:rsidRDefault="004A7C08" w:rsidP="004A7C08">
            <w:pPr>
              <w:spacing w:after="0"/>
              <w:rPr>
                <w:rFonts w:asciiTheme="minorHAnsi" w:hAnsiTheme="minorHAnsi"/>
                <w:color w:val="000000"/>
                <w:szCs w:val="18"/>
              </w:rPr>
            </w:pPr>
            <w:r w:rsidRPr="004A7C08">
              <w:rPr>
                <w:rFonts w:asciiTheme="minorHAnsi" w:hAnsiTheme="minorHAnsi"/>
                <w:color w:val="000000"/>
                <w:szCs w:val="18"/>
              </w:rPr>
              <w:t>Finance gain/(cost)</w:t>
            </w:r>
          </w:p>
        </w:tc>
        <w:tc>
          <w:tcPr>
            <w:tcW w:w="1134" w:type="dxa"/>
            <w:tcBorders>
              <w:bottom w:val="single" w:sz="4" w:space="0" w:color="auto"/>
            </w:tcBorders>
            <w:shd w:val="clear" w:color="000000" w:fill="FFFFFF"/>
            <w:noWrap/>
            <w:vAlign w:val="center"/>
            <w:hideMark/>
          </w:tcPr>
          <w:p w14:paraId="64CFA015"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201</w:t>
            </w:r>
          </w:p>
        </w:tc>
        <w:tc>
          <w:tcPr>
            <w:tcW w:w="1200" w:type="dxa"/>
            <w:tcBorders>
              <w:bottom w:val="single" w:sz="4" w:space="0" w:color="auto"/>
            </w:tcBorders>
            <w:shd w:val="clear" w:color="000000" w:fill="FFFFFF"/>
            <w:noWrap/>
            <w:vAlign w:val="center"/>
            <w:hideMark/>
          </w:tcPr>
          <w:p w14:paraId="0C3D252A"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(24)</w:t>
            </w:r>
          </w:p>
        </w:tc>
        <w:tc>
          <w:tcPr>
            <w:tcW w:w="520" w:type="dxa"/>
            <w:shd w:val="clear" w:color="000000" w:fill="FFFFFF"/>
            <w:noWrap/>
            <w:vAlign w:val="center"/>
            <w:hideMark/>
          </w:tcPr>
          <w:p w14:paraId="20C78670"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tcBorders>
              <w:bottom w:val="single" w:sz="4" w:space="0" w:color="auto"/>
            </w:tcBorders>
            <w:shd w:val="clear" w:color="000000" w:fill="FFFFFF"/>
            <w:noWrap/>
            <w:vAlign w:val="center"/>
            <w:hideMark/>
          </w:tcPr>
          <w:p w14:paraId="217D49C9"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225</w:t>
            </w:r>
          </w:p>
        </w:tc>
        <w:tc>
          <w:tcPr>
            <w:tcW w:w="1120" w:type="dxa"/>
            <w:tcBorders>
              <w:bottom w:val="single" w:sz="4" w:space="0" w:color="auto"/>
            </w:tcBorders>
            <w:shd w:val="clear" w:color="000000" w:fill="FFFFFF"/>
            <w:noWrap/>
            <w:vAlign w:val="center"/>
            <w:hideMark/>
          </w:tcPr>
          <w:p w14:paraId="5E84685A" w14:textId="77777777" w:rsidR="004A7C08" w:rsidRPr="004A7C08" w:rsidRDefault="004A7C08" w:rsidP="004A7C08">
            <w:pPr>
              <w:spacing w:after="0"/>
              <w:jc w:val="right"/>
              <w:rPr>
                <w:rFonts w:asciiTheme="minorHAnsi" w:hAnsiTheme="minorHAnsi"/>
                <w:szCs w:val="18"/>
              </w:rPr>
            </w:pPr>
            <w:r w:rsidRPr="004A7C08">
              <w:rPr>
                <w:rFonts w:asciiTheme="minorHAnsi" w:hAnsiTheme="minorHAnsi"/>
                <w:szCs w:val="18"/>
              </w:rPr>
              <w:t>-938%</w:t>
            </w:r>
          </w:p>
        </w:tc>
      </w:tr>
      <w:tr w:rsidR="004A7C08" w:rsidRPr="004A7C08" w14:paraId="4586C32D" w14:textId="77777777" w:rsidTr="004A7C08">
        <w:trPr>
          <w:trHeight w:val="280"/>
        </w:trPr>
        <w:tc>
          <w:tcPr>
            <w:tcW w:w="4678" w:type="dxa"/>
            <w:shd w:val="clear" w:color="000000" w:fill="FFFFFF"/>
            <w:vAlign w:val="center"/>
            <w:hideMark/>
          </w:tcPr>
          <w:p w14:paraId="6EFA13FC" w14:textId="77777777" w:rsidR="004A7C08" w:rsidRPr="004A7C08" w:rsidRDefault="004A7C08" w:rsidP="004A7C08">
            <w:pPr>
              <w:spacing w:after="0"/>
              <w:rPr>
                <w:rFonts w:asciiTheme="minorHAnsi" w:hAnsiTheme="minorHAnsi"/>
                <w:b/>
                <w:bCs/>
                <w:color w:val="000000"/>
                <w:szCs w:val="18"/>
              </w:rPr>
            </w:pPr>
            <w:r w:rsidRPr="004A7C08">
              <w:rPr>
                <w:rFonts w:asciiTheme="minorHAnsi" w:hAnsiTheme="minorHAnsi"/>
                <w:b/>
                <w:bCs/>
                <w:color w:val="000000"/>
                <w:szCs w:val="18"/>
              </w:rPr>
              <w:t>Loss for the period</w:t>
            </w:r>
          </w:p>
        </w:tc>
        <w:tc>
          <w:tcPr>
            <w:tcW w:w="1134" w:type="dxa"/>
            <w:tcBorders>
              <w:top w:val="single" w:sz="4" w:space="0" w:color="auto"/>
            </w:tcBorders>
            <w:shd w:val="clear" w:color="000000" w:fill="FFFFFF"/>
            <w:noWrap/>
            <w:vAlign w:val="center"/>
            <w:hideMark/>
          </w:tcPr>
          <w:p w14:paraId="0ADDA6B5"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(3,220)</w:t>
            </w:r>
          </w:p>
        </w:tc>
        <w:tc>
          <w:tcPr>
            <w:tcW w:w="1200" w:type="dxa"/>
            <w:tcBorders>
              <w:top w:val="single" w:sz="4" w:space="0" w:color="auto"/>
            </w:tcBorders>
            <w:shd w:val="clear" w:color="000000" w:fill="FFFFFF"/>
            <w:noWrap/>
            <w:vAlign w:val="center"/>
            <w:hideMark/>
          </w:tcPr>
          <w:p w14:paraId="7451207A"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(6,632)</w:t>
            </w:r>
          </w:p>
        </w:tc>
        <w:tc>
          <w:tcPr>
            <w:tcW w:w="520" w:type="dxa"/>
            <w:shd w:val="clear" w:color="000000" w:fill="FFFFFF"/>
            <w:noWrap/>
            <w:vAlign w:val="center"/>
            <w:hideMark/>
          </w:tcPr>
          <w:p w14:paraId="6757E766"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 </w:t>
            </w:r>
          </w:p>
        </w:tc>
        <w:tc>
          <w:tcPr>
            <w:tcW w:w="1120" w:type="dxa"/>
            <w:tcBorders>
              <w:top w:val="single" w:sz="4" w:space="0" w:color="auto"/>
            </w:tcBorders>
            <w:shd w:val="clear" w:color="000000" w:fill="FFFFFF"/>
            <w:noWrap/>
            <w:vAlign w:val="center"/>
            <w:hideMark/>
          </w:tcPr>
          <w:p w14:paraId="3255104B"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3,412</w:t>
            </w:r>
          </w:p>
        </w:tc>
        <w:tc>
          <w:tcPr>
            <w:tcW w:w="1120" w:type="dxa"/>
            <w:tcBorders>
              <w:top w:val="single" w:sz="4" w:space="0" w:color="auto"/>
            </w:tcBorders>
            <w:shd w:val="clear" w:color="000000" w:fill="FFFFFF"/>
            <w:noWrap/>
            <w:vAlign w:val="center"/>
            <w:hideMark/>
          </w:tcPr>
          <w:p w14:paraId="045ED7BB" w14:textId="77777777" w:rsidR="004A7C08" w:rsidRPr="004A7C08" w:rsidRDefault="004A7C08" w:rsidP="004A7C08">
            <w:pPr>
              <w:spacing w:after="0"/>
              <w:jc w:val="right"/>
              <w:rPr>
                <w:rFonts w:asciiTheme="minorHAnsi" w:hAnsiTheme="minorHAnsi"/>
                <w:b/>
                <w:bCs/>
                <w:szCs w:val="18"/>
              </w:rPr>
            </w:pPr>
            <w:r w:rsidRPr="004A7C08">
              <w:rPr>
                <w:rFonts w:asciiTheme="minorHAnsi" w:hAnsiTheme="minorHAnsi"/>
                <w:b/>
                <w:bCs/>
                <w:szCs w:val="18"/>
              </w:rPr>
              <w:t>51%</w:t>
            </w:r>
          </w:p>
        </w:tc>
      </w:tr>
    </w:tbl>
    <w:p w14:paraId="13A5F2B4" w14:textId="77777777" w:rsidR="004A7C08" w:rsidRDefault="004A7C08" w:rsidP="00E35C58">
      <w:pPr>
        <w:pStyle w:val="qk"/>
        <w:spacing w:before="0" w:beforeAutospacing="0" w:after="0" w:afterAutospacing="0" w:line="235" w:lineRule="atLeast"/>
        <w:jc w:val="both"/>
        <w:rPr>
          <w:rStyle w:val="nw"/>
          <w:rFonts w:ascii="Calibri" w:hAnsi="Calibri"/>
          <w:color w:val="000000"/>
          <w:sz w:val="18"/>
          <w:szCs w:val="18"/>
        </w:rPr>
      </w:pPr>
    </w:p>
    <w:p w14:paraId="18C92412" w14:textId="77777777" w:rsidR="00E35C58" w:rsidRDefault="00E35C58" w:rsidP="00E35C58">
      <w:pPr>
        <w:pStyle w:val="qk"/>
        <w:spacing w:before="0" w:beforeAutospacing="0" w:after="0" w:afterAutospacing="0" w:line="235" w:lineRule="atLeast"/>
        <w:jc w:val="both"/>
        <w:rPr>
          <w:rFonts w:ascii="Cambria" w:hAnsi="Cambria"/>
          <w:color w:val="000000"/>
          <w:sz w:val="22"/>
          <w:szCs w:val="22"/>
        </w:rPr>
      </w:pPr>
      <w:r>
        <w:rPr>
          <w:rStyle w:val="nw"/>
          <w:rFonts w:ascii="Calibri" w:hAnsi="Calibri"/>
          <w:color w:val="000000"/>
          <w:sz w:val="18"/>
          <w:szCs w:val="18"/>
        </w:rPr>
        <w:t>This review covers the consolidated results of 7digital Group plc</w:t>
      </w:r>
      <w:r w:rsidR="00783FAA">
        <w:rPr>
          <w:rStyle w:val="nw"/>
          <w:rFonts w:ascii="Calibri" w:hAnsi="Calibri"/>
          <w:color w:val="000000"/>
          <w:sz w:val="18"/>
          <w:szCs w:val="18"/>
        </w:rPr>
        <w:t>.</w:t>
      </w:r>
      <w:r>
        <w:rPr>
          <w:rStyle w:val="nw"/>
          <w:rFonts w:ascii="Calibri" w:hAnsi="Calibri"/>
          <w:color w:val="000000"/>
          <w:sz w:val="18"/>
          <w:szCs w:val="18"/>
        </w:rPr>
        <w:t xml:space="preserve"> </w:t>
      </w:r>
    </w:p>
    <w:p w14:paraId="777988D9" w14:textId="77777777" w:rsidR="00E35C58" w:rsidRDefault="00E35C58" w:rsidP="003B4178">
      <w:pPr>
        <w:pStyle w:val="qg"/>
        <w:spacing w:before="0" w:beforeAutospacing="0" w:after="0" w:afterAutospacing="0" w:line="235" w:lineRule="atLeast"/>
        <w:rPr>
          <w:rFonts w:asciiTheme="minorHAnsi" w:hAnsiTheme="minorHAnsi"/>
          <w:b/>
          <w:szCs w:val="18"/>
        </w:rPr>
      </w:pPr>
      <w:r>
        <w:rPr>
          <w:rStyle w:val="oa"/>
          <w:rFonts w:ascii="Calibri" w:hAnsi="Calibri"/>
          <w:b/>
          <w:bCs/>
          <w:color w:val="000000"/>
          <w:sz w:val="18"/>
          <w:szCs w:val="18"/>
        </w:rPr>
        <w:t> </w:t>
      </w:r>
    </w:p>
    <w:p w14:paraId="0C83E386" w14:textId="4D592B18" w:rsidR="00E35C58" w:rsidRDefault="00E35C58" w:rsidP="00E35C58">
      <w:pPr>
        <w:rPr>
          <w:rFonts w:asciiTheme="minorHAnsi" w:hAnsiTheme="minorHAnsi"/>
          <w:b/>
          <w:szCs w:val="18"/>
        </w:rPr>
      </w:pPr>
      <w:r w:rsidRPr="00B70263">
        <w:rPr>
          <w:rFonts w:asciiTheme="minorHAnsi" w:hAnsiTheme="minorHAnsi"/>
          <w:b/>
          <w:szCs w:val="18"/>
        </w:rPr>
        <w:t>Revenue</w:t>
      </w:r>
    </w:p>
    <w:tbl>
      <w:tblPr>
        <w:tblW w:w="9781" w:type="dxa"/>
        <w:tblInd w:w="-34" w:type="dxa"/>
        <w:tblLayout w:type="fixed"/>
        <w:tblLook w:val="04A0" w:firstRow="1" w:lastRow="0" w:firstColumn="1" w:lastColumn="0" w:noHBand="0" w:noVBand="1"/>
      </w:tblPr>
      <w:tblGrid>
        <w:gridCol w:w="4678"/>
        <w:gridCol w:w="1134"/>
        <w:gridCol w:w="1134"/>
        <w:gridCol w:w="567"/>
        <w:gridCol w:w="1134"/>
        <w:gridCol w:w="1134"/>
      </w:tblGrid>
      <w:tr w:rsidR="006236B2" w:rsidRPr="006236B2" w14:paraId="1F4E6008" w14:textId="77777777" w:rsidTr="00CE1802">
        <w:trPr>
          <w:trHeight w:val="280"/>
        </w:trPr>
        <w:tc>
          <w:tcPr>
            <w:tcW w:w="4678" w:type="dxa"/>
            <w:tcBorders>
              <w:top w:val="nil"/>
              <w:left w:val="nil"/>
              <w:bottom w:val="nil"/>
              <w:right w:val="nil"/>
            </w:tcBorders>
            <w:shd w:val="clear" w:color="000000" w:fill="FFFFFF"/>
            <w:vAlign w:val="center"/>
            <w:hideMark/>
          </w:tcPr>
          <w:p w14:paraId="23A45ED7" w14:textId="77777777" w:rsidR="00285792" w:rsidRDefault="00285792" w:rsidP="006236B2">
            <w:pPr>
              <w:spacing w:after="0"/>
              <w:rPr>
                <w:rFonts w:ascii="Calibri" w:hAnsi="Calibri"/>
                <w:b/>
                <w:bCs/>
                <w:color w:val="000000"/>
                <w:szCs w:val="18"/>
              </w:rPr>
            </w:pPr>
          </w:p>
          <w:p w14:paraId="6CA033FF" w14:textId="77777777" w:rsidR="006236B2" w:rsidRPr="006236B2" w:rsidRDefault="006236B2" w:rsidP="006236B2">
            <w:pPr>
              <w:spacing w:after="0"/>
              <w:rPr>
                <w:rFonts w:ascii="Calibri" w:hAnsi="Calibri"/>
                <w:b/>
                <w:bCs/>
                <w:color w:val="000000"/>
                <w:szCs w:val="18"/>
              </w:rPr>
            </w:pPr>
            <w:r w:rsidRPr="006236B2">
              <w:rPr>
                <w:rFonts w:ascii="Calibri" w:hAnsi="Calibri"/>
                <w:b/>
                <w:bCs/>
                <w:color w:val="000000"/>
                <w:szCs w:val="18"/>
              </w:rPr>
              <w:t> </w:t>
            </w:r>
          </w:p>
        </w:tc>
        <w:tc>
          <w:tcPr>
            <w:tcW w:w="1134" w:type="dxa"/>
            <w:tcBorders>
              <w:top w:val="nil"/>
              <w:left w:val="nil"/>
              <w:bottom w:val="nil"/>
              <w:right w:val="nil"/>
            </w:tcBorders>
            <w:shd w:val="clear" w:color="000000" w:fill="FFFFFF"/>
            <w:vAlign w:val="center"/>
            <w:hideMark/>
          </w:tcPr>
          <w:p w14:paraId="58F79FB7"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2016 £’000</w:t>
            </w:r>
          </w:p>
        </w:tc>
        <w:tc>
          <w:tcPr>
            <w:tcW w:w="1134" w:type="dxa"/>
            <w:tcBorders>
              <w:top w:val="nil"/>
              <w:left w:val="nil"/>
              <w:bottom w:val="nil"/>
              <w:right w:val="nil"/>
            </w:tcBorders>
            <w:shd w:val="clear" w:color="000000" w:fill="FFFFFF"/>
            <w:vAlign w:val="center"/>
            <w:hideMark/>
          </w:tcPr>
          <w:p w14:paraId="2EB726D8"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2015 £’000</w:t>
            </w:r>
          </w:p>
        </w:tc>
        <w:tc>
          <w:tcPr>
            <w:tcW w:w="567" w:type="dxa"/>
            <w:tcBorders>
              <w:top w:val="nil"/>
              <w:left w:val="nil"/>
              <w:bottom w:val="nil"/>
              <w:right w:val="nil"/>
            </w:tcBorders>
            <w:shd w:val="clear" w:color="000000" w:fill="FFFFFF"/>
            <w:vAlign w:val="center"/>
            <w:hideMark/>
          </w:tcPr>
          <w:p w14:paraId="4359ED82"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 </w:t>
            </w:r>
          </w:p>
        </w:tc>
        <w:tc>
          <w:tcPr>
            <w:tcW w:w="1134" w:type="dxa"/>
            <w:tcBorders>
              <w:top w:val="nil"/>
              <w:left w:val="nil"/>
              <w:bottom w:val="nil"/>
              <w:right w:val="nil"/>
            </w:tcBorders>
            <w:shd w:val="clear" w:color="000000" w:fill="FFFFFF"/>
            <w:vAlign w:val="center"/>
            <w:hideMark/>
          </w:tcPr>
          <w:p w14:paraId="6BF9612D"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Change</w:t>
            </w:r>
          </w:p>
        </w:tc>
        <w:tc>
          <w:tcPr>
            <w:tcW w:w="1134" w:type="dxa"/>
            <w:tcBorders>
              <w:top w:val="nil"/>
              <w:left w:val="nil"/>
              <w:bottom w:val="nil"/>
              <w:right w:val="nil"/>
            </w:tcBorders>
            <w:shd w:val="clear" w:color="000000" w:fill="FFFFFF"/>
            <w:vAlign w:val="center"/>
            <w:hideMark/>
          </w:tcPr>
          <w:p w14:paraId="5911EA17"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w:t>
            </w:r>
          </w:p>
        </w:tc>
      </w:tr>
      <w:tr w:rsidR="006236B2" w:rsidRPr="006236B2" w14:paraId="67573319" w14:textId="77777777" w:rsidTr="00CE1802">
        <w:trPr>
          <w:trHeight w:val="280"/>
        </w:trPr>
        <w:tc>
          <w:tcPr>
            <w:tcW w:w="4678" w:type="dxa"/>
            <w:tcBorders>
              <w:top w:val="nil"/>
              <w:left w:val="nil"/>
              <w:bottom w:val="nil"/>
              <w:right w:val="nil"/>
            </w:tcBorders>
            <w:shd w:val="clear" w:color="000000" w:fill="FFFFFF"/>
            <w:noWrap/>
            <w:vAlign w:val="center"/>
            <w:hideMark/>
          </w:tcPr>
          <w:p w14:paraId="1CC6C70F" w14:textId="77777777" w:rsidR="006236B2" w:rsidRPr="006236B2" w:rsidRDefault="006236B2" w:rsidP="006236B2">
            <w:pPr>
              <w:spacing w:after="0"/>
              <w:rPr>
                <w:rFonts w:ascii="Calibri" w:hAnsi="Calibri"/>
                <w:color w:val="000000"/>
                <w:sz w:val="20"/>
                <w:szCs w:val="20"/>
              </w:rPr>
            </w:pPr>
            <w:r w:rsidRPr="006236B2">
              <w:rPr>
                <w:rFonts w:ascii="Calibri" w:hAnsi="Calibri"/>
                <w:color w:val="000000"/>
                <w:sz w:val="20"/>
                <w:szCs w:val="20"/>
              </w:rPr>
              <w:t>Monthly recurring  revenue</w:t>
            </w:r>
          </w:p>
        </w:tc>
        <w:tc>
          <w:tcPr>
            <w:tcW w:w="1134" w:type="dxa"/>
            <w:tcBorders>
              <w:top w:val="nil"/>
              <w:left w:val="nil"/>
              <w:bottom w:val="nil"/>
              <w:right w:val="nil"/>
            </w:tcBorders>
            <w:shd w:val="clear" w:color="000000" w:fill="FFFFFF"/>
            <w:noWrap/>
            <w:vAlign w:val="center"/>
            <w:hideMark/>
          </w:tcPr>
          <w:p w14:paraId="10CF4E1D"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2,316</w:t>
            </w:r>
          </w:p>
        </w:tc>
        <w:tc>
          <w:tcPr>
            <w:tcW w:w="1134" w:type="dxa"/>
            <w:tcBorders>
              <w:top w:val="nil"/>
              <w:left w:val="nil"/>
              <w:bottom w:val="nil"/>
              <w:right w:val="nil"/>
            </w:tcBorders>
            <w:shd w:val="clear" w:color="000000" w:fill="FFFFFF"/>
            <w:noWrap/>
            <w:vAlign w:val="center"/>
            <w:hideMark/>
          </w:tcPr>
          <w:p w14:paraId="7BF462D5"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2,251</w:t>
            </w:r>
          </w:p>
        </w:tc>
        <w:tc>
          <w:tcPr>
            <w:tcW w:w="567" w:type="dxa"/>
            <w:tcBorders>
              <w:top w:val="nil"/>
              <w:left w:val="nil"/>
              <w:bottom w:val="nil"/>
              <w:right w:val="nil"/>
            </w:tcBorders>
            <w:shd w:val="clear" w:color="000000" w:fill="FFFFFF"/>
            <w:noWrap/>
            <w:vAlign w:val="center"/>
            <w:hideMark/>
          </w:tcPr>
          <w:p w14:paraId="69807D56"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 </w:t>
            </w:r>
          </w:p>
        </w:tc>
        <w:tc>
          <w:tcPr>
            <w:tcW w:w="1134" w:type="dxa"/>
            <w:tcBorders>
              <w:top w:val="nil"/>
              <w:left w:val="nil"/>
              <w:bottom w:val="nil"/>
              <w:right w:val="nil"/>
            </w:tcBorders>
            <w:shd w:val="clear" w:color="000000" w:fill="FFFFFF"/>
            <w:noWrap/>
            <w:vAlign w:val="center"/>
            <w:hideMark/>
          </w:tcPr>
          <w:p w14:paraId="0155451B"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65</w:t>
            </w:r>
          </w:p>
        </w:tc>
        <w:tc>
          <w:tcPr>
            <w:tcW w:w="1134" w:type="dxa"/>
            <w:tcBorders>
              <w:top w:val="nil"/>
              <w:left w:val="nil"/>
              <w:bottom w:val="nil"/>
              <w:right w:val="nil"/>
            </w:tcBorders>
            <w:shd w:val="clear" w:color="000000" w:fill="FFFFFF"/>
            <w:noWrap/>
            <w:vAlign w:val="center"/>
            <w:hideMark/>
          </w:tcPr>
          <w:p w14:paraId="3F48CFC3"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3%</w:t>
            </w:r>
          </w:p>
        </w:tc>
      </w:tr>
      <w:tr w:rsidR="006236B2" w:rsidRPr="006236B2" w14:paraId="531D39A9" w14:textId="77777777" w:rsidTr="00CE1802">
        <w:trPr>
          <w:trHeight w:val="280"/>
        </w:trPr>
        <w:tc>
          <w:tcPr>
            <w:tcW w:w="4678" w:type="dxa"/>
            <w:tcBorders>
              <w:top w:val="nil"/>
              <w:left w:val="nil"/>
              <w:bottom w:val="nil"/>
              <w:right w:val="nil"/>
            </w:tcBorders>
            <w:shd w:val="clear" w:color="000000" w:fill="FFFFFF"/>
            <w:noWrap/>
            <w:vAlign w:val="center"/>
            <w:hideMark/>
          </w:tcPr>
          <w:p w14:paraId="1750216C" w14:textId="77777777" w:rsidR="006236B2" w:rsidRPr="006236B2" w:rsidRDefault="006236B2" w:rsidP="006236B2">
            <w:pPr>
              <w:spacing w:after="0"/>
              <w:rPr>
                <w:rFonts w:ascii="Calibri" w:hAnsi="Calibri"/>
                <w:color w:val="000000"/>
                <w:sz w:val="20"/>
                <w:szCs w:val="20"/>
              </w:rPr>
            </w:pPr>
            <w:r w:rsidRPr="006236B2">
              <w:rPr>
                <w:rFonts w:ascii="Calibri" w:hAnsi="Calibri"/>
                <w:color w:val="000000"/>
                <w:sz w:val="20"/>
                <w:szCs w:val="20"/>
              </w:rPr>
              <w:t>Set-up fees</w:t>
            </w:r>
          </w:p>
        </w:tc>
        <w:tc>
          <w:tcPr>
            <w:tcW w:w="1134" w:type="dxa"/>
            <w:tcBorders>
              <w:top w:val="nil"/>
              <w:left w:val="nil"/>
              <w:bottom w:val="single" w:sz="4" w:space="0" w:color="auto"/>
              <w:right w:val="nil"/>
            </w:tcBorders>
            <w:shd w:val="clear" w:color="000000" w:fill="FFFFFF"/>
            <w:noWrap/>
            <w:vAlign w:val="center"/>
            <w:hideMark/>
          </w:tcPr>
          <w:p w14:paraId="781EEFD1"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727</w:t>
            </w:r>
          </w:p>
        </w:tc>
        <w:tc>
          <w:tcPr>
            <w:tcW w:w="1134" w:type="dxa"/>
            <w:tcBorders>
              <w:top w:val="nil"/>
              <w:left w:val="nil"/>
              <w:bottom w:val="single" w:sz="4" w:space="0" w:color="auto"/>
              <w:right w:val="nil"/>
            </w:tcBorders>
            <w:shd w:val="clear" w:color="000000" w:fill="FFFFFF"/>
            <w:noWrap/>
            <w:vAlign w:val="center"/>
            <w:hideMark/>
          </w:tcPr>
          <w:p w14:paraId="55E31EFC"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883</w:t>
            </w:r>
          </w:p>
        </w:tc>
        <w:tc>
          <w:tcPr>
            <w:tcW w:w="567" w:type="dxa"/>
            <w:tcBorders>
              <w:top w:val="nil"/>
              <w:left w:val="nil"/>
              <w:bottom w:val="nil"/>
              <w:right w:val="nil"/>
            </w:tcBorders>
            <w:shd w:val="clear" w:color="000000" w:fill="FFFFFF"/>
            <w:noWrap/>
            <w:vAlign w:val="center"/>
            <w:hideMark/>
          </w:tcPr>
          <w:p w14:paraId="05287F58"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 </w:t>
            </w:r>
          </w:p>
        </w:tc>
        <w:tc>
          <w:tcPr>
            <w:tcW w:w="1134" w:type="dxa"/>
            <w:tcBorders>
              <w:top w:val="nil"/>
              <w:left w:val="nil"/>
              <w:bottom w:val="single" w:sz="4" w:space="0" w:color="auto"/>
              <w:right w:val="nil"/>
            </w:tcBorders>
            <w:shd w:val="clear" w:color="000000" w:fill="FFFFFF"/>
            <w:noWrap/>
            <w:vAlign w:val="center"/>
            <w:hideMark/>
          </w:tcPr>
          <w:p w14:paraId="7DAA059E"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(156)</w:t>
            </w:r>
          </w:p>
        </w:tc>
        <w:tc>
          <w:tcPr>
            <w:tcW w:w="1134" w:type="dxa"/>
            <w:tcBorders>
              <w:top w:val="nil"/>
              <w:left w:val="nil"/>
              <w:bottom w:val="single" w:sz="4" w:space="0" w:color="auto"/>
              <w:right w:val="nil"/>
            </w:tcBorders>
            <w:shd w:val="clear" w:color="000000" w:fill="FFFFFF"/>
            <w:noWrap/>
            <w:vAlign w:val="center"/>
            <w:hideMark/>
          </w:tcPr>
          <w:p w14:paraId="7EA67681"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-18%</w:t>
            </w:r>
          </w:p>
        </w:tc>
      </w:tr>
      <w:tr w:rsidR="006236B2" w:rsidRPr="006236B2" w14:paraId="3B5C1E64" w14:textId="77777777" w:rsidTr="00CE1802">
        <w:trPr>
          <w:trHeight w:val="280"/>
        </w:trPr>
        <w:tc>
          <w:tcPr>
            <w:tcW w:w="4678" w:type="dxa"/>
            <w:tcBorders>
              <w:top w:val="nil"/>
              <w:left w:val="nil"/>
              <w:bottom w:val="nil"/>
              <w:right w:val="nil"/>
            </w:tcBorders>
            <w:shd w:val="clear" w:color="000000" w:fill="FFFFFF"/>
            <w:noWrap/>
            <w:vAlign w:val="center"/>
            <w:hideMark/>
          </w:tcPr>
          <w:p w14:paraId="2339D98B" w14:textId="77777777" w:rsidR="006236B2" w:rsidRPr="006236B2" w:rsidRDefault="006236B2" w:rsidP="006236B2">
            <w:pPr>
              <w:spacing w:after="0"/>
              <w:rPr>
                <w:rFonts w:ascii="Calibri" w:hAnsi="Calibri"/>
                <w:b/>
                <w:bCs/>
                <w:color w:val="000000"/>
                <w:sz w:val="20"/>
                <w:szCs w:val="20"/>
              </w:rPr>
            </w:pPr>
            <w:r w:rsidRPr="006236B2">
              <w:rPr>
                <w:rFonts w:ascii="Calibri" w:hAnsi="Calibri"/>
                <w:b/>
                <w:bCs/>
                <w:color w:val="000000"/>
                <w:sz w:val="20"/>
                <w:szCs w:val="20"/>
              </w:rPr>
              <w:t>Licensing revenue</w:t>
            </w:r>
          </w:p>
        </w:tc>
        <w:tc>
          <w:tcPr>
            <w:tcW w:w="1134" w:type="dxa"/>
            <w:tcBorders>
              <w:top w:val="nil"/>
              <w:left w:val="nil"/>
              <w:bottom w:val="nil"/>
              <w:right w:val="nil"/>
            </w:tcBorders>
            <w:shd w:val="clear" w:color="000000" w:fill="FFFFFF"/>
            <w:noWrap/>
            <w:vAlign w:val="center"/>
            <w:hideMark/>
          </w:tcPr>
          <w:p w14:paraId="7D5B7878" w14:textId="77777777" w:rsidR="006236B2" w:rsidRPr="006236B2" w:rsidRDefault="006236B2" w:rsidP="006236B2">
            <w:pPr>
              <w:spacing w:after="0"/>
              <w:jc w:val="right"/>
              <w:rPr>
                <w:rFonts w:ascii="Calibri" w:hAnsi="Calibri"/>
                <w:b/>
                <w:bCs/>
                <w:sz w:val="20"/>
                <w:szCs w:val="20"/>
              </w:rPr>
            </w:pPr>
            <w:r w:rsidRPr="006236B2">
              <w:rPr>
                <w:rFonts w:ascii="Calibri" w:hAnsi="Calibri"/>
                <w:b/>
                <w:bCs/>
                <w:sz w:val="20"/>
                <w:szCs w:val="20"/>
              </w:rPr>
              <w:t>3,043</w:t>
            </w:r>
          </w:p>
        </w:tc>
        <w:tc>
          <w:tcPr>
            <w:tcW w:w="1134" w:type="dxa"/>
            <w:tcBorders>
              <w:top w:val="nil"/>
              <w:left w:val="nil"/>
              <w:bottom w:val="nil"/>
              <w:right w:val="nil"/>
            </w:tcBorders>
            <w:shd w:val="clear" w:color="000000" w:fill="FFFFFF"/>
            <w:noWrap/>
            <w:vAlign w:val="center"/>
            <w:hideMark/>
          </w:tcPr>
          <w:p w14:paraId="39297EAB" w14:textId="77777777" w:rsidR="006236B2" w:rsidRPr="006236B2" w:rsidRDefault="006236B2" w:rsidP="006236B2">
            <w:pPr>
              <w:spacing w:after="0"/>
              <w:jc w:val="right"/>
              <w:rPr>
                <w:rFonts w:ascii="Calibri" w:hAnsi="Calibri"/>
                <w:b/>
                <w:bCs/>
                <w:sz w:val="20"/>
                <w:szCs w:val="20"/>
              </w:rPr>
            </w:pPr>
            <w:r w:rsidRPr="006236B2">
              <w:rPr>
                <w:rFonts w:ascii="Calibri" w:hAnsi="Calibri"/>
                <w:b/>
                <w:bCs/>
                <w:sz w:val="20"/>
                <w:szCs w:val="20"/>
              </w:rPr>
              <w:t>3,134</w:t>
            </w:r>
          </w:p>
        </w:tc>
        <w:tc>
          <w:tcPr>
            <w:tcW w:w="567" w:type="dxa"/>
            <w:tcBorders>
              <w:top w:val="nil"/>
              <w:left w:val="nil"/>
              <w:bottom w:val="nil"/>
              <w:right w:val="nil"/>
            </w:tcBorders>
            <w:shd w:val="clear" w:color="000000" w:fill="FFFFFF"/>
            <w:noWrap/>
            <w:vAlign w:val="center"/>
            <w:hideMark/>
          </w:tcPr>
          <w:p w14:paraId="07ED2F54"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 </w:t>
            </w:r>
          </w:p>
        </w:tc>
        <w:tc>
          <w:tcPr>
            <w:tcW w:w="1134" w:type="dxa"/>
            <w:tcBorders>
              <w:top w:val="nil"/>
              <w:left w:val="nil"/>
              <w:bottom w:val="nil"/>
              <w:right w:val="nil"/>
            </w:tcBorders>
            <w:shd w:val="clear" w:color="000000" w:fill="FFFFFF"/>
            <w:noWrap/>
            <w:vAlign w:val="center"/>
            <w:hideMark/>
          </w:tcPr>
          <w:p w14:paraId="313D6EC0" w14:textId="77777777" w:rsidR="006236B2" w:rsidRPr="006236B2" w:rsidRDefault="006236B2" w:rsidP="006236B2">
            <w:pPr>
              <w:spacing w:after="0"/>
              <w:jc w:val="right"/>
              <w:rPr>
                <w:rFonts w:ascii="Calibri" w:hAnsi="Calibri"/>
                <w:b/>
                <w:bCs/>
                <w:sz w:val="20"/>
                <w:szCs w:val="20"/>
              </w:rPr>
            </w:pPr>
            <w:r w:rsidRPr="006236B2">
              <w:rPr>
                <w:rFonts w:ascii="Calibri" w:hAnsi="Calibri"/>
                <w:b/>
                <w:bCs/>
                <w:sz w:val="20"/>
                <w:szCs w:val="20"/>
              </w:rPr>
              <w:t>(91)</w:t>
            </w:r>
          </w:p>
        </w:tc>
        <w:tc>
          <w:tcPr>
            <w:tcW w:w="1134" w:type="dxa"/>
            <w:tcBorders>
              <w:top w:val="nil"/>
              <w:left w:val="nil"/>
              <w:bottom w:val="nil"/>
              <w:right w:val="nil"/>
            </w:tcBorders>
            <w:shd w:val="clear" w:color="000000" w:fill="FFFFFF"/>
            <w:noWrap/>
            <w:vAlign w:val="center"/>
            <w:hideMark/>
          </w:tcPr>
          <w:p w14:paraId="1CCE8F4C"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-3%</w:t>
            </w:r>
          </w:p>
        </w:tc>
      </w:tr>
      <w:tr w:rsidR="006236B2" w:rsidRPr="006236B2" w14:paraId="2631E4EA" w14:textId="77777777" w:rsidTr="00CE1802">
        <w:trPr>
          <w:trHeight w:val="280"/>
        </w:trPr>
        <w:tc>
          <w:tcPr>
            <w:tcW w:w="4678" w:type="dxa"/>
            <w:tcBorders>
              <w:top w:val="nil"/>
              <w:left w:val="nil"/>
              <w:bottom w:val="nil"/>
              <w:right w:val="nil"/>
            </w:tcBorders>
            <w:shd w:val="clear" w:color="000000" w:fill="FFFFFF"/>
            <w:noWrap/>
            <w:vAlign w:val="center"/>
            <w:hideMark/>
          </w:tcPr>
          <w:p w14:paraId="5806BC9E" w14:textId="77777777" w:rsidR="006236B2" w:rsidRPr="006236B2" w:rsidRDefault="006236B2" w:rsidP="006236B2">
            <w:pPr>
              <w:spacing w:after="0"/>
              <w:rPr>
                <w:rFonts w:ascii="Calibri" w:hAnsi="Calibri"/>
                <w:color w:val="000000"/>
                <w:sz w:val="20"/>
                <w:szCs w:val="20"/>
              </w:rPr>
            </w:pPr>
            <w:r w:rsidRPr="006236B2">
              <w:rPr>
                <w:rFonts w:ascii="Calibri" w:hAnsi="Calibri"/>
                <w:color w:val="000000"/>
                <w:sz w:val="20"/>
                <w:szCs w:val="20"/>
              </w:rPr>
              <w:t>Content</w:t>
            </w:r>
          </w:p>
        </w:tc>
        <w:tc>
          <w:tcPr>
            <w:tcW w:w="1134" w:type="dxa"/>
            <w:tcBorders>
              <w:top w:val="nil"/>
              <w:left w:val="nil"/>
              <w:bottom w:val="nil"/>
              <w:right w:val="nil"/>
            </w:tcBorders>
            <w:shd w:val="clear" w:color="000000" w:fill="FFFFFF"/>
            <w:noWrap/>
            <w:vAlign w:val="center"/>
            <w:hideMark/>
          </w:tcPr>
          <w:p w14:paraId="157ECE85"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1,367</w:t>
            </w:r>
          </w:p>
        </w:tc>
        <w:tc>
          <w:tcPr>
            <w:tcW w:w="1134" w:type="dxa"/>
            <w:tcBorders>
              <w:top w:val="nil"/>
              <w:left w:val="nil"/>
              <w:bottom w:val="nil"/>
              <w:right w:val="nil"/>
            </w:tcBorders>
            <w:shd w:val="clear" w:color="000000" w:fill="FFFFFF"/>
            <w:noWrap/>
            <w:vAlign w:val="center"/>
            <w:hideMark/>
          </w:tcPr>
          <w:p w14:paraId="3CC584FB"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1,099</w:t>
            </w:r>
          </w:p>
        </w:tc>
        <w:tc>
          <w:tcPr>
            <w:tcW w:w="567" w:type="dxa"/>
            <w:tcBorders>
              <w:top w:val="nil"/>
              <w:left w:val="nil"/>
              <w:bottom w:val="nil"/>
              <w:right w:val="nil"/>
            </w:tcBorders>
            <w:shd w:val="clear" w:color="000000" w:fill="FFFFFF"/>
            <w:noWrap/>
            <w:vAlign w:val="center"/>
            <w:hideMark/>
          </w:tcPr>
          <w:p w14:paraId="008B61A9"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 </w:t>
            </w:r>
          </w:p>
        </w:tc>
        <w:tc>
          <w:tcPr>
            <w:tcW w:w="1134" w:type="dxa"/>
            <w:tcBorders>
              <w:top w:val="nil"/>
              <w:left w:val="nil"/>
              <w:bottom w:val="nil"/>
              <w:right w:val="nil"/>
            </w:tcBorders>
            <w:shd w:val="clear" w:color="000000" w:fill="FFFFFF"/>
            <w:noWrap/>
            <w:vAlign w:val="center"/>
            <w:hideMark/>
          </w:tcPr>
          <w:p w14:paraId="7E2E4704"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268</w:t>
            </w:r>
          </w:p>
        </w:tc>
        <w:tc>
          <w:tcPr>
            <w:tcW w:w="1134" w:type="dxa"/>
            <w:tcBorders>
              <w:top w:val="nil"/>
              <w:left w:val="nil"/>
              <w:bottom w:val="nil"/>
              <w:right w:val="nil"/>
            </w:tcBorders>
            <w:shd w:val="clear" w:color="000000" w:fill="FFFFFF"/>
            <w:noWrap/>
            <w:vAlign w:val="center"/>
            <w:hideMark/>
          </w:tcPr>
          <w:p w14:paraId="50674E41"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24%</w:t>
            </w:r>
          </w:p>
        </w:tc>
      </w:tr>
      <w:tr w:rsidR="006236B2" w:rsidRPr="006236B2" w14:paraId="2D69BBF6" w14:textId="77777777" w:rsidTr="00CE1802">
        <w:trPr>
          <w:trHeight w:val="280"/>
        </w:trPr>
        <w:tc>
          <w:tcPr>
            <w:tcW w:w="4678" w:type="dxa"/>
            <w:tcBorders>
              <w:top w:val="nil"/>
              <w:left w:val="nil"/>
              <w:bottom w:val="nil"/>
              <w:right w:val="nil"/>
            </w:tcBorders>
            <w:shd w:val="clear" w:color="000000" w:fill="FFFFFF"/>
            <w:noWrap/>
            <w:vAlign w:val="center"/>
            <w:hideMark/>
          </w:tcPr>
          <w:p w14:paraId="63279B8E" w14:textId="77777777" w:rsidR="006236B2" w:rsidRPr="006236B2" w:rsidRDefault="006236B2" w:rsidP="006236B2">
            <w:pPr>
              <w:spacing w:after="0"/>
              <w:rPr>
                <w:rFonts w:ascii="Calibri" w:hAnsi="Calibri"/>
                <w:color w:val="000000"/>
                <w:sz w:val="20"/>
                <w:szCs w:val="20"/>
              </w:rPr>
            </w:pPr>
            <w:r w:rsidRPr="006236B2">
              <w:rPr>
                <w:rFonts w:ascii="Calibri" w:hAnsi="Calibri"/>
                <w:color w:val="000000"/>
                <w:sz w:val="20"/>
                <w:szCs w:val="20"/>
              </w:rPr>
              <w:t>Creative</w:t>
            </w:r>
          </w:p>
        </w:tc>
        <w:tc>
          <w:tcPr>
            <w:tcW w:w="1134" w:type="dxa"/>
            <w:tcBorders>
              <w:top w:val="nil"/>
              <w:left w:val="nil"/>
              <w:bottom w:val="nil"/>
              <w:right w:val="nil"/>
            </w:tcBorders>
            <w:shd w:val="clear" w:color="000000" w:fill="FFFFFF"/>
            <w:noWrap/>
            <w:vAlign w:val="center"/>
            <w:hideMark/>
          </w:tcPr>
          <w:p w14:paraId="0187796C"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837</w:t>
            </w:r>
          </w:p>
        </w:tc>
        <w:tc>
          <w:tcPr>
            <w:tcW w:w="1134" w:type="dxa"/>
            <w:tcBorders>
              <w:top w:val="nil"/>
              <w:left w:val="nil"/>
              <w:bottom w:val="nil"/>
              <w:right w:val="nil"/>
            </w:tcBorders>
            <w:shd w:val="clear" w:color="000000" w:fill="FFFFFF"/>
            <w:noWrap/>
            <w:vAlign w:val="center"/>
            <w:hideMark/>
          </w:tcPr>
          <w:p w14:paraId="4549C7C0"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920</w:t>
            </w:r>
          </w:p>
        </w:tc>
        <w:tc>
          <w:tcPr>
            <w:tcW w:w="567" w:type="dxa"/>
            <w:tcBorders>
              <w:top w:val="nil"/>
              <w:left w:val="nil"/>
              <w:bottom w:val="nil"/>
              <w:right w:val="nil"/>
            </w:tcBorders>
            <w:shd w:val="clear" w:color="000000" w:fill="FFFFFF"/>
            <w:vAlign w:val="center"/>
            <w:hideMark/>
          </w:tcPr>
          <w:p w14:paraId="3A80EE56"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 </w:t>
            </w:r>
          </w:p>
        </w:tc>
        <w:tc>
          <w:tcPr>
            <w:tcW w:w="1134" w:type="dxa"/>
            <w:tcBorders>
              <w:top w:val="nil"/>
              <w:left w:val="nil"/>
              <w:bottom w:val="nil"/>
              <w:right w:val="nil"/>
            </w:tcBorders>
            <w:shd w:val="clear" w:color="000000" w:fill="FFFFFF"/>
            <w:noWrap/>
            <w:vAlign w:val="center"/>
            <w:hideMark/>
          </w:tcPr>
          <w:p w14:paraId="7F443986" w14:textId="77777777" w:rsidR="006236B2" w:rsidRPr="006236B2" w:rsidRDefault="006236B2" w:rsidP="006236B2">
            <w:pPr>
              <w:spacing w:after="0"/>
              <w:jc w:val="right"/>
              <w:rPr>
                <w:rFonts w:ascii="Calibri" w:hAnsi="Calibri"/>
                <w:sz w:val="20"/>
                <w:szCs w:val="20"/>
              </w:rPr>
            </w:pPr>
            <w:r w:rsidRPr="006236B2">
              <w:rPr>
                <w:rFonts w:ascii="Calibri" w:hAnsi="Calibri"/>
                <w:sz w:val="20"/>
                <w:szCs w:val="20"/>
              </w:rPr>
              <w:t>(83)</w:t>
            </w:r>
          </w:p>
        </w:tc>
        <w:tc>
          <w:tcPr>
            <w:tcW w:w="1134" w:type="dxa"/>
            <w:tcBorders>
              <w:top w:val="nil"/>
              <w:left w:val="nil"/>
              <w:bottom w:val="nil"/>
              <w:right w:val="nil"/>
            </w:tcBorders>
            <w:shd w:val="clear" w:color="000000" w:fill="FFFFFF"/>
            <w:noWrap/>
            <w:vAlign w:val="center"/>
            <w:hideMark/>
          </w:tcPr>
          <w:p w14:paraId="775FB32D" w14:textId="77777777" w:rsidR="006236B2" w:rsidRPr="006236B2" w:rsidRDefault="006236B2" w:rsidP="006236B2">
            <w:pPr>
              <w:spacing w:after="0"/>
              <w:jc w:val="right"/>
              <w:rPr>
                <w:rFonts w:ascii="Calibri" w:hAnsi="Calibri"/>
                <w:color w:val="000000"/>
                <w:szCs w:val="18"/>
              </w:rPr>
            </w:pPr>
            <w:r w:rsidRPr="006236B2">
              <w:rPr>
                <w:rFonts w:ascii="Calibri" w:hAnsi="Calibri"/>
                <w:color w:val="000000"/>
                <w:szCs w:val="18"/>
              </w:rPr>
              <w:t>-9%</w:t>
            </w:r>
          </w:p>
        </w:tc>
      </w:tr>
      <w:tr w:rsidR="006236B2" w:rsidRPr="006236B2" w14:paraId="06522EF9" w14:textId="77777777" w:rsidTr="00CE1802">
        <w:trPr>
          <w:trHeight w:val="280"/>
        </w:trPr>
        <w:tc>
          <w:tcPr>
            <w:tcW w:w="4678" w:type="dxa"/>
            <w:tcBorders>
              <w:top w:val="nil"/>
              <w:left w:val="nil"/>
              <w:bottom w:val="nil"/>
              <w:right w:val="nil"/>
            </w:tcBorders>
            <w:shd w:val="clear" w:color="000000" w:fill="FFFFFF"/>
            <w:noWrap/>
            <w:vAlign w:val="center"/>
            <w:hideMark/>
          </w:tcPr>
          <w:p w14:paraId="4C5C9486" w14:textId="77777777" w:rsidR="006236B2" w:rsidRPr="006236B2" w:rsidRDefault="006236B2" w:rsidP="006236B2">
            <w:pPr>
              <w:spacing w:after="0"/>
              <w:rPr>
                <w:rFonts w:ascii="Calibri" w:hAnsi="Calibri"/>
                <w:b/>
                <w:bCs/>
                <w:color w:val="000000"/>
                <w:sz w:val="20"/>
                <w:szCs w:val="20"/>
              </w:rPr>
            </w:pPr>
            <w:r w:rsidRPr="006236B2">
              <w:rPr>
                <w:rFonts w:ascii="Calibri" w:hAnsi="Calibri"/>
                <w:b/>
                <w:bCs/>
                <w:color w:val="000000"/>
                <w:sz w:val="20"/>
                <w:szCs w:val="20"/>
              </w:rPr>
              <w:t>Total Revenues</w:t>
            </w:r>
          </w:p>
        </w:tc>
        <w:tc>
          <w:tcPr>
            <w:tcW w:w="1134" w:type="dxa"/>
            <w:tcBorders>
              <w:top w:val="single" w:sz="4" w:space="0" w:color="auto"/>
              <w:left w:val="nil"/>
              <w:bottom w:val="single" w:sz="4" w:space="0" w:color="auto"/>
              <w:right w:val="nil"/>
            </w:tcBorders>
            <w:shd w:val="clear" w:color="000000" w:fill="FFFFFF"/>
            <w:noWrap/>
            <w:vAlign w:val="center"/>
            <w:hideMark/>
          </w:tcPr>
          <w:p w14:paraId="16BAAF73" w14:textId="77777777" w:rsidR="006236B2" w:rsidRPr="006236B2" w:rsidRDefault="006236B2" w:rsidP="006236B2">
            <w:pPr>
              <w:spacing w:after="0"/>
              <w:jc w:val="right"/>
              <w:rPr>
                <w:rFonts w:ascii="Calibri" w:hAnsi="Calibri"/>
                <w:b/>
                <w:bCs/>
                <w:sz w:val="20"/>
                <w:szCs w:val="20"/>
              </w:rPr>
            </w:pPr>
            <w:r w:rsidRPr="006236B2">
              <w:rPr>
                <w:rFonts w:ascii="Calibri" w:hAnsi="Calibri"/>
                <w:b/>
                <w:bCs/>
                <w:sz w:val="20"/>
                <w:szCs w:val="20"/>
              </w:rPr>
              <w:t>5,247</w:t>
            </w:r>
          </w:p>
        </w:tc>
        <w:tc>
          <w:tcPr>
            <w:tcW w:w="1134" w:type="dxa"/>
            <w:tcBorders>
              <w:top w:val="single" w:sz="4" w:space="0" w:color="auto"/>
              <w:left w:val="nil"/>
              <w:bottom w:val="single" w:sz="4" w:space="0" w:color="auto"/>
              <w:right w:val="nil"/>
            </w:tcBorders>
            <w:shd w:val="clear" w:color="000000" w:fill="FFFFFF"/>
            <w:noWrap/>
            <w:vAlign w:val="center"/>
            <w:hideMark/>
          </w:tcPr>
          <w:p w14:paraId="12E98F4B" w14:textId="77777777" w:rsidR="006236B2" w:rsidRPr="006236B2" w:rsidRDefault="006236B2" w:rsidP="006236B2">
            <w:pPr>
              <w:spacing w:after="0"/>
              <w:jc w:val="right"/>
              <w:rPr>
                <w:rFonts w:ascii="Calibri" w:hAnsi="Calibri"/>
                <w:b/>
                <w:bCs/>
                <w:sz w:val="20"/>
                <w:szCs w:val="20"/>
              </w:rPr>
            </w:pPr>
            <w:r w:rsidRPr="006236B2">
              <w:rPr>
                <w:rFonts w:ascii="Calibri" w:hAnsi="Calibri"/>
                <w:b/>
                <w:bCs/>
                <w:sz w:val="20"/>
                <w:szCs w:val="20"/>
              </w:rPr>
              <w:t>5,153</w:t>
            </w:r>
          </w:p>
        </w:tc>
        <w:tc>
          <w:tcPr>
            <w:tcW w:w="567" w:type="dxa"/>
            <w:tcBorders>
              <w:top w:val="nil"/>
              <w:left w:val="nil"/>
              <w:bottom w:val="nil"/>
              <w:right w:val="nil"/>
            </w:tcBorders>
            <w:shd w:val="clear" w:color="000000" w:fill="FFFFFF"/>
            <w:vAlign w:val="center"/>
            <w:hideMark/>
          </w:tcPr>
          <w:p w14:paraId="252AF2C9" w14:textId="77777777" w:rsidR="006236B2" w:rsidRPr="006236B2" w:rsidRDefault="006236B2" w:rsidP="006236B2">
            <w:pPr>
              <w:spacing w:after="0"/>
              <w:rPr>
                <w:rFonts w:ascii="Calibri" w:hAnsi="Calibri"/>
                <w:b/>
                <w:bCs/>
                <w:color w:val="000000"/>
                <w:szCs w:val="18"/>
              </w:rPr>
            </w:pPr>
            <w:r w:rsidRPr="006236B2">
              <w:rPr>
                <w:rFonts w:ascii="Calibri" w:hAnsi="Calibri"/>
                <w:b/>
                <w:bCs/>
                <w:color w:val="000000"/>
                <w:szCs w:val="18"/>
              </w:rPr>
              <w:t> </w:t>
            </w:r>
          </w:p>
        </w:tc>
        <w:tc>
          <w:tcPr>
            <w:tcW w:w="1134" w:type="dxa"/>
            <w:tcBorders>
              <w:top w:val="single" w:sz="4" w:space="0" w:color="auto"/>
              <w:left w:val="nil"/>
              <w:bottom w:val="single" w:sz="4" w:space="0" w:color="auto"/>
              <w:right w:val="nil"/>
            </w:tcBorders>
            <w:shd w:val="clear" w:color="000000" w:fill="FFFFFF"/>
            <w:noWrap/>
            <w:vAlign w:val="center"/>
            <w:hideMark/>
          </w:tcPr>
          <w:p w14:paraId="7BB0C7E2" w14:textId="77777777" w:rsidR="006236B2" w:rsidRPr="006236B2" w:rsidRDefault="006236B2" w:rsidP="006236B2">
            <w:pPr>
              <w:spacing w:after="0"/>
              <w:jc w:val="right"/>
              <w:rPr>
                <w:rFonts w:ascii="Calibri" w:hAnsi="Calibri"/>
                <w:b/>
                <w:bCs/>
                <w:sz w:val="20"/>
                <w:szCs w:val="20"/>
              </w:rPr>
            </w:pPr>
            <w:r w:rsidRPr="006236B2">
              <w:rPr>
                <w:rFonts w:ascii="Calibri" w:hAnsi="Calibri"/>
                <w:b/>
                <w:bCs/>
                <w:sz w:val="20"/>
                <w:szCs w:val="20"/>
              </w:rPr>
              <w:t>94</w:t>
            </w:r>
          </w:p>
        </w:tc>
        <w:tc>
          <w:tcPr>
            <w:tcW w:w="1134" w:type="dxa"/>
            <w:tcBorders>
              <w:top w:val="single" w:sz="4" w:space="0" w:color="auto"/>
              <w:left w:val="nil"/>
              <w:bottom w:val="single" w:sz="4" w:space="0" w:color="auto"/>
              <w:right w:val="nil"/>
            </w:tcBorders>
            <w:shd w:val="clear" w:color="000000" w:fill="FFFFFF"/>
            <w:noWrap/>
            <w:vAlign w:val="center"/>
            <w:hideMark/>
          </w:tcPr>
          <w:p w14:paraId="47F11227" w14:textId="77777777" w:rsidR="006236B2" w:rsidRPr="006236B2" w:rsidRDefault="006236B2" w:rsidP="006236B2">
            <w:pPr>
              <w:spacing w:after="0"/>
              <w:jc w:val="right"/>
              <w:rPr>
                <w:rFonts w:ascii="Calibri" w:hAnsi="Calibri"/>
                <w:b/>
                <w:bCs/>
                <w:color w:val="000000"/>
                <w:szCs w:val="18"/>
              </w:rPr>
            </w:pPr>
            <w:r w:rsidRPr="006236B2">
              <w:rPr>
                <w:rFonts w:ascii="Calibri" w:hAnsi="Calibri"/>
                <w:b/>
                <w:bCs/>
                <w:color w:val="000000"/>
                <w:szCs w:val="18"/>
              </w:rPr>
              <w:t>2%</w:t>
            </w:r>
          </w:p>
        </w:tc>
      </w:tr>
    </w:tbl>
    <w:p w14:paraId="149E5C27" w14:textId="77777777" w:rsidR="006236B2" w:rsidRDefault="006236B2" w:rsidP="00E35C58">
      <w:pPr>
        <w:jc w:val="both"/>
        <w:rPr>
          <w:rFonts w:asciiTheme="minorHAnsi" w:hAnsiTheme="minorHAnsi"/>
          <w:szCs w:val="18"/>
        </w:rPr>
      </w:pPr>
    </w:p>
    <w:p w14:paraId="4FA19CE9" w14:textId="6A23B298" w:rsidR="00E35C58" w:rsidRPr="00B70263" w:rsidRDefault="00E35C58" w:rsidP="00E35C58">
      <w:pPr>
        <w:jc w:val="both"/>
        <w:rPr>
          <w:rFonts w:asciiTheme="minorHAnsi" w:hAnsiTheme="minorHAnsi"/>
          <w:szCs w:val="18"/>
        </w:rPr>
      </w:pPr>
      <w:r>
        <w:rPr>
          <w:rFonts w:asciiTheme="minorHAnsi" w:hAnsiTheme="minorHAnsi"/>
          <w:szCs w:val="18"/>
        </w:rPr>
        <w:t>Licen</w:t>
      </w:r>
      <w:r w:rsidRPr="00B70263">
        <w:rPr>
          <w:rFonts w:asciiTheme="minorHAnsi" w:hAnsiTheme="minorHAnsi"/>
          <w:szCs w:val="18"/>
        </w:rPr>
        <w:t>sing revenue</w:t>
      </w:r>
      <w:r>
        <w:rPr>
          <w:rFonts w:asciiTheme="minorHAnsi" w:hAnsiTheme="minorHAnsi"/>
          <w:szCs w:val="18"/>
        </w:rPr>
        <w:t>,</w:t>
      </w:r>
      <w:r w:rsidRPr="00B70263">
        <w:rPr>
          <w:rFonts w:asciiTheme="minorHAnsi" w:hAnsiTheme="minorHAnsi"/>
          <w:szCs w:val="18"/>
        </w:rPr>
        <w:t xml:space="preserve"> which f</w:t>
      </w:r>
      <w:r>
        <w:rPr>
          <w:rFonts w:asciiTheme="minorHAnsi" w:hAnsiTheme="minorHAnsi"/>
          <w:szCs w:val="18"/>
        </w:rPr>
        <w:t xml:space="preserve">orms the core of the </w:t>
      </w:r>
      <w:r w:rsidR="00783FAA">
        <w:rPr>
          <w:rFonts w:asciiTheme="minorHAnsi" w:hAnsiTheme="minorHAnsi"/>
          <w:szCs w:val="18"/>
        </w:rPr>
        <w:t>business,</w:t>
      </w:r>
      <w:r>
        <w:rPr>
          <w:rFonts w:asciiTheme="minorHAnsi" w:hAnsiTheme="minorHAnsi"/>
          <w:szCs w:val="18"/>
        </w:rPr>
        <w:t xml:space="preserve"> </w:t>
      </w:r>
      <w:r w:rsidRPr="00B70263">
        <w:rPr>
          <w:rFonts w:asciiTheme="minorHAnsi" w:hAnsiTheme="minorHAnsi"/>
          <w:szCs w:val="18"/>
        </w:rPr>
        <w:t xml:space="preserve">has </w:t>
      </w:r>
      <w:r w:rsidR="00783FAA">
        <w:rPr>
          <w:rFonts w:asciiTheme="minorHAnsi" w:hAnsiTheme="minorHAnsi"/>
          <w:szCs w:val="18"/>
        </w:rPr>
        <w:t>remained</w:t>
      </w:r>
      <w:r w:rsidRPr="00B70263">
        <w:rPr>
          <w:rFonts w:asciiTheme="minorHAnsi" w:hAnsiTheme="minorHAnsi"/>
          <w:szCs w:val="18"/>
        </w:rPr>
        <w:t xml:space="preserve"> </w:t>
      </w:r>
      <w:r w:rsidR="00783FAA">
        <w:rPr>
          <w:rFonts w:asciiTheme="minorHAnsi" w:hAnsiTheme="minorHAnsi"/>
          <w:szCs w:val="18"/>
        </w:rPr>
        <w:t>broadly flat at £3.0m (2015: £3.1m)</w:t>
      </w:r>
      <w:r w:rsidRPr="00B70263">
        <w:rPr>
          <w:rFonts w:asciiTheme="minorHAnsi" w:hAnsiTheme="minorHAnsi"/>
          <w:szCs w:val="18"/>
        </w:rPr>
        <w:t xml:space="preserve">. </w:t>
      </w:r>
      <w:r>
        <w:rPr>
          <w:rFonts w:asciiTheme="minorHAnsi" w:hAnsiTheme="minorHAnsi"/>
          <w:szCs w:val="18"/>
        </w:rPr>
        <w:t>MRR</w:t>
      </w:r>
      <w:r w:rsidRPr="00B70263">
        <w:rPr>
          <w:rFonts w:asciiTheme="minorHAnsi" w:hAnsiTheme="minorHAnsi"/>
          <w:szCs w:val="18"/>
        </w:rPr>
        <w:t xml:space="preserve"> was up by </w:t>
      </w:r>
      <w:r w:rsidR="00783FAA">
        <w:rPr>
          <w:rFonts w:asciiTheme="minorHAnsi" w:hAnsiTheme="minorHAnsi"/>
          <w:szCs w:val="18"/>
        </w:rPr>
        <w:t>3</w:t>
      </w:r>
      <w:r w:rsidRPr="00B70263">
        <w:rPr>
          <w:rFonts w:asciiTheme="minorHAnsi" w:hAnsiTheme="minorHAnsi"/>
          <w:szCs w:val="18"/>
        </w:rPr>
        <w:t xml:space="preserve">%; </w:t>
      </w:r>
      <w:r w:rsidR="00671A1C" w:rsidRPr="00671A1C">
        <w:rPr>
          <w:rFonts w:asciiTheme="minorHAnsi" w:hAnsiTheme="minorHAnsi"/>
          <w:szCs w:val="18"/>
        </w:rPr>
        <w:t>this low increase reflects the inclusion last year of revenues from</w:t>
      </w:r>
      <w:r w:rsidR="00EF4774">
        <w:rPr>
          <w:rFonts w:asciiTheme="minorHAnsi" w:hAnsiTheme="minorHAnsi"/>
          <w:szCs w:val="18"/>
        </w:rPr>
        <w:t xml:space="preserve"> a</w:t>
      </w:r>
      <w:r w:rsidR="00671A1C" w:rsidRPr="00671A1C">
        <w:rPr>
          <w:rFonts w:asciiTheme="minorHAnsi" w:hAnsiTheme="minorHAnsi"/>
          <w:szCs w:val="18"/>
        </w:rPr>
        <w:t xml:space="preserve"> large contract not present in 2016. New contracts have more than replaced these revenues going forward and, given their timing, will benefit the Group in full in the second half and beyond.</w:t>
      </w:r>
      <w:r w:rsidRPr="00B70263">
        <w:rPr>
          <w:rFonts w:asciiTheme="minorHAnsi" w:hAnsiTheme="minorHAnsi"/>
          <w:szCs w:val="18"/>
        </w:rPr>
        <w:t xml:space="preserve"> </w:t>
      </w:r>
      <w:r>
        <w:rPr>
          <w:rFonts w:asciiTheme="minorHAnsi" w:hAnsiTheme="minorHAnsi"/>
          <w:szCs w:val="18"/>
        </w:rPr>
        <w:t>The total annualised MRR rate in June 201</w:t>
      </w:r>
      <w:r w:rsidR="00D24BCC">
        <w:rPr>
          <w:rFonts w:asciiTheme="minorHAnsi" w:hAnsiTheme="minorHAnsi"/>
          <w:szCs w:val="18"/>
        </w:rPr>
        <w:t>6</w:t>
      </w:r>
      <w:r>
        <w:rPr>
          <w:rFonts w:asciiTheme="minorHAnsi" w:hAnsiTheme="minorHAnsi"/>
          <w:szCs w:val="18"/>
        </w:rPr>
        <w:t xml:space="preserve"> was £</w:t>
      </w:r>
      <w:r w:rsidR="005C2DE7">
        <w:rPr>
          <w:rFonts w:asciiTheme="minorHAnsi" w:hAnsiTheme="minorHAnsi"/>
          <w:szCs w:val="18"/>
        </w:rPr>
        <w:t>5.4m</w:t>
      </w:r>
      <w:r>
        <w:rPr>
          <w:rFonts w:asciiTheme="minorHAnsi" w:hAnsiTheme="minorHAnsi"/>
          <w:szCs w:val="18"/>
        </w:rPr>
        <w:t xml:space="preserve">, an increase of </w:t>
      </w:r>
      <w:r w:rsidR="00D24BCC">
        <w:rPr>
          <w:rFonts w:asciiTheme="minorHAnsi" w:hAnsiTheme="minorHAnsi"/>
          <w:szCs w:val="18"/>
        </w:rPr>
        <w:t>10</w:t>
      </w:r>
      <w:r>
        <w:rPr>
          <w:rFonts w:asciiTheme="minorHAnsi" w:hAnsiTheme="minorHAnsi"/>
          <w:szCs w:val="18"/>
        </w:rPr>
        <w:t xml:space="preserve">% from </w:t>
      </w:r>
      <w:r w:rsidR="00D24BCC">
        <w:rPr>
          <w:rFonts w:asciiTheme="minorHAnsi" w:hAnsiTheme="minorHAnsi"/>
          <w:szCs w:val="18"/>
        </w:rPr>
        <w:t>June 2015</w:t>
      </w:r>
      <w:r>
        <w:rPr>
          <w:rFonts w:asciiTheme="minorHAnsi" w:hAnsiTheme="minorHAnsi"/>
          <w:szCs w:val="18"/>
        </w:rPr>
        <w:t xml:space="preserve"> (£</w:t>
      </w:r>
      <w:r w:rsidR="005C2DE7">
        <w:rPr>
          <w:rFonts w:asciiTheme="minorHAnsi" w:hAnsiTheme="minorHAnsi"/>
          <w:szCs w:val="18"/>
        </w:rPr>
        <w:t>4.9m</w:t>
      </w:r>
      <w:r>
        <w:rPr>
          <w:rFonts w:asciiTheme="minorHAnsi" w:hAnsiTheme="minorHAnsi"/>
          <w:szCs w:val="18"/>
        </w:rPr>
        <w:t xml:space="preserve">). </w:t>
      </w:r>
    </w:p>
    <w:p w14:paraId="060D6EC4" w14:textId="0FE80261" w:rsidR="00E35C58" w:rsidRPr="00B70263" w:rsidRDefault="00CF4A32" w:rsidP="00E35C58">
      <w:pPr>
        <w:jc w:val="both"/>
        <w:rPr>
          <w:rFonts w:asciiTheme="minorHAnsi" w:hAnsiTheme="minorHAnsi"/>
          <w:szCs w:val="18"/>
        </w:rPr>
      </w:pPr>
      <w:r>
        <w:rPr>
          <w:rFonts w:asciiTheme="minorHAnsi" w:hAnsiTheme="minorHAnsi"/>
          <w:szCs w:val="18"/>
        </w:rPr>
        <w:t>C</w:t>
      </w:r>
      <w:r w:rsidR="00E35C58" w:rsidRPr="00B70263">
        <w:rPr>
          <w:rFonts w:asciiTheme="minorHAnsi" w:hAnsiTheme="minorHAnsi"/>
          <w:szCs w:val="18"/>
        </w:rPr>
        <w:t xml:space="preserve">ontent revenue </w:t>
      </w:r>
      <w:r w:rsidR="00D24BCC">
        <w:rPr>
          <w:rFonts w:asciiTheme="minorHAnsi" w:hAnsiTheme="minorHAnsi"/>
          <w:szCs w:val="18"/>
        </w:rPr>
        <w:t>increased due to an exclusivity deal for a major artist. Excluding this, content revenue has remained broadly flat</w:t>
      </w:r>
      <w:r w:rsidR="00E35C58" w:rsidRPr="00B70263">
        <w:rPr>
          <w:rFonts w:asciiTheme="minorHAnsi" w:hAnsiTheme="minorHAnsi"/>
          <w:szCs w:val="18"/>
        </w:rPr>
        <w:t xml:space="preserve">. </w:t>
      </w:r>
    </w:p>
    <w:p w14:paraId="4C5EF9B1" w14:textId="7B03629D" w:rsidR="00E35C58" w:rsidRPr="00B70263" w:rsidRDefault="00CF4A32" w:rsidP="00E35C58">
      <w:pPr>
        <w:spacing w:after="0"/>
        <w:jc w:val="both"/>
        <w:rPr>
          <w:rFonts w:asciiTheme="minorHAnsi" w:hAnsiTheme="minorHAnsi"/>
          <w:szCs w:val="18"/>
        </w:rPr>
      </w:pPr>
      <w:r>
        <w:rPr>
          <w:rFonts w:asciiTheme="minorHAnsi" w:hAnsiTheme="minorHAnsi"/>
          <w:szCs w:val="18"/>
        </w:rPr>
        <w:t>C</w:t>
      </w:r>
      <w:r w:rsidR="00D24BCC">
        <w:rPr>
          <w:rFonts w:asciiTheme="minorHAnsi" w:hAnsiTheme="minorHAnsi"/>
          <w:szCs w:val="18"/>
        </w:rPr>
        <w:t>reative</w:t>
      </w:r>
      <w:r w:rsidR="00E35C58" w:rsidRPr="00B70263">
        <w:rPr>
          <w:rFonts w:asciiTheme="minorHAnsi" w:hAnsiTheme="minorHAnsi"/>
          <w:szCs w:val="18"/>
        </w:rPr>
        <w:t xml:space="preserve"> revenue</w:t>
      </w:r>
      <w:r w:rsidR="00D24BCC">
        <w:rPr>
          <w:rFonts w:asciiTheme="minorHAnsi" w:hAnsiTheme="minorHAnsi"/>
          <w:szCs w:val="18"/>
        </w:rPr>
        <w:t xml:space="preserve"> (formerly labelled production)</w:t>
      </w:r>
      <w:r w:rsidR="00E35C58" w:rsidRPr="00B70263">
        <w:rPr>
          <w:rFonts w:asciiTheme="minorHAnsi" w:hAnsiTheme="minorHAnsi"/>
          <w:szCs w:val="18"/>
        </w:rPr>
        <w:t xml:space="preserve"> has </w:t>
      </w:r>
      <w:r w:rsidR="00D24BCC">
        <w:rPr>
          <w:rFonts w:asciiTheme="minorHAnsi" w:hAnsiTheme="minorHAnsi"/>
          <w:szCs w:val="18"/>
        </w:rPr>
        <w:t>fallen slightly</w:t>
      </w:r>
      <w:r w:rsidR="00E35C58" w:rsidRPr="00B70263">
        <w:rPr>
          <w:rFonts w:asciiTheme="minorHAnsi" w:hAnsiTheme="minorHAnsi"/>
          <w:szCs w:val="18"/>
        </w:rPr>
        <w:t xml:space="preserve"> due to the </w:t>
      </w:r>
      <w:r w:rsidR="00D24BCC">
        <w:rPr>
          <w:rFonts w:asciiTheme="minorHAnsi" w:hAnsiTheme="minorHAnsi"/>
          <w:szCs w:val="18"/>
        </w:rPr>
        <w:t xml:space="preserve">movement of some large productions to later in 2016 compared to 2015. </w:t>
      </w:r>
      <w:r w:rsidR="00E35C58" w:rsidRPr="00B70263">
        <w:rPr>
          <w:rFonts w:asciiTheme="minorHAnsi" w:hAnsiTheme="minorHAnsi"/>
          <w:szCs w:val="18"/>
        </w:rPr>
        <w:t xml:space="preserve"> </w:t>
      </w:r>
    </w:p>
    <w:p w14:paraId="729DE6BF" w14:textId="77777777" w:rsidR="00E35C58" w:rsidRDefault="00E35C58" w:rsidP="00E35C58">
      <w:pPr>
        <w:spacing w:after="0"/>
        <w:jc w:val="both"/>
        <w:rPr>
          <w:rFonts w:asciiTheme="minorHAnsi" w:hAnsiTheme="minorHAnsi"/>
          <w:szCs w:val="18"/>
        </w:rPr>
      </w:pPr>
    </w:p>
    <w:p w14:paraId="2EAA195C" w14:textId="42AD7AB7" w:rsidR="00D24BCC" w:rsidRDefault="00D24BCC" w:rsidP="00E35C58">
      <w:pPr>
        <w:spacing w:after="0"/>
        <w:jc w:val="both"/>
        <w:rPr>
          <w:rFonts w:asciiTheme="minorHAnsi" w:hAnsiTheme="minorHAnsi"/>
          <w:szCs w:val="18"/>
        </w:rPr>
      </w:pPr>
      <w:r>
        <w:rPr>
          <w:rFonts w:asciiTheme="minorHAnsi" w:hAnsiTheme="minorHAnsi"/>
          <w:szCs w:val="18"/>
        </w:rPr>
        <w:t>G</w:t>
      </w:r>
      <w:r w:rsidR="00E35C58" w:rsidRPr="00B70263">
        <w:rPr>
          <w:rFonts w:asciiTheme="minorHAnsi" w:hAnsiTheme="minorHAnsi"/>
          <w:szCs w:val="18"/>
        </w:rPr>
        <w:t>ross profit</w:t>
      </w:r>
      <w:r w:rsidR="00E35C58">
        <w:rPr>
          <w:rFonts w:asciiTheme="minorHAnsi" w:hAnsiTheme="minorHAnsi"/>
          <w:szCs w:val="18"/>
        </w:rPr>
        <w:t xml:space="preserve"> </w:t>
      </w:r>
      <w:r>
        <w:rPr>
          <w:rFonts w:asciiTheme="minorHAnsi" w:hAnsiTheme="minorHAnsi"/>
          <w:szCs w:val="18"/>
        </w:rPr>
        <w:t>remains unchanged at £3.3m</w:t>
      </w:r>
      <w:r w:rsidR="00E35C58">
        <w:rPr>
          <w:rFonts w:asciiTheme="minorHAnsi" w:hAnsiTheme="minorHAnsi"/>
          <w:szCs w:val="18"/>
        </w:rPr>
        <w:t>, and a</w:t>
      </w:r>
      <w:r w:rsidR="00514566">
        <w:rPr>
          <w:rFonts w:asciiTheme="minorHAnsi" w:hAnsiTheme="minorHAnsi"/>
          <w:szCs w:val="18"/>
        </w:rPr>
        <w:t>chieved a</w:t>
      </w:r>
      <w:r w:rsidR="00E35C58" w:rsidRPr="00B70263">
        <w:rPr>
          <w:rFonts w:asciiTheme="minorHAnsi" w:hAnsiTheme="minorHAnsi"/>
          <w:szCs w:val="18"/>
        </w:rPr>
        <w:t xml:space="preserve"> </w:t>
      </w:r>
      <w:r>
        <w:rPr>
          <w:rFonts w:asciiTheme="minorHAnsi" w:hAnsiTheme="minorHAnsi"/>
          <w:szCs w:val="18"/>
        </w:rPr>
        <w:t>steady</w:t>
      </w:r>
      <w:r w:rsidR="00E35C58" w:rsidRPr="00B70263">
        <w:rPr>
          <w:rFonts w:asciiTheme="minorHAnsi" w:hAnsiTheme="minorHAnsi"/>
          <w:szCs w:val="18"/>
        </w:rPr>
        <w:t xml:space="preserve"> gross margin, which </w:t>
      </w:r>
      <w:r>
        <w:rPr>
          <w:rFonts w:asciiTheme="minorHAnsi" w:hAnsiTheme="minorHAnsi"/>
          <w:szCs w:val="18"/>
        </w:rPr>
        <w:t>i</w:t>
      </w:r>
      <w:r w:rsidR="00E35C58" w:rsidRPr="00B70263">
        <w:rPr>
          <w:rFonts w:asciiTheme="minorHAnsi" w:hAnsiTheme="minorHAnsi"/>
          <w:szCs w:val="18"/>
        </w:rPr>
        <w:t xml:space="preserve">s </w:t>
      </w:r>
      <w:r>
        <w:rPr>
          <w:rFonts w:asciiTheme="minorHAnsi" w:hAnsiTheme="minorHAnsi"/>
          <w:szCs w:val="18"/>
        </w:rPr>
        <w:t>63%</w:t>
      </w:r>
      <w:r w:rsidR="00E35C58" w:rsidRPr="00B70263">
        <w:rPr>
          <w:rFonts w:asciiTheme="minorHAnsi" w:hAnsiTheme="minorHAnsi"/>
          <w:szCs w:val="18"/>
        </w:rPr>
        <w:t xml:space="preserve"> </w:t>
      </w:r>
      <w:r>
        <w:rPr>
          <w:rFonts w:asciiTheme="minorHAnsi" w:hAnsiTheme="minorHAnsi"/>
          <w:szCs w:val="18"/>
        </w:rPr>
        <w:t xml:space="preserve">(2015: </w:t>
      </w:r>
      <w:r w:rsidR="00E35C58" w:rsidRPr="00B70263">
        <w:rPr>
          <w:rFonts w:asciiTheme="minorHAnsi" w:hAnsiTheme="minorHAnsi"/>
          <w:szCs w:val="18"/>
        </w:rPr>
        <w:t>64%</w:t>
      </w:r>
      <w:r>
        <w:rPr>
          <w:rFonts w:asciiTheme="minorHAnsi" w:hAnsiTheme="minorHAnsi"/>
          <w:szCs w:val="18"/>
        </w:rPr>
        <w:t>)</w:t>
      </w:r>
      <w:r w:rsidR="00E35C58" w:rsidRPr="00B70263">
        <w:rPr>
          <w:rFonts w:asciiTheme="minorHAnsi" w:hAnsiTheme="minorHAnsi"/>
          <w:szCs w:val="18"/>
        </w:rPr>
        <w:t xml:space="preserve">. </w:t>
      </w:r>
    </w:p>
    <w:p w14:paraId="380FB238" w14:textId="77777777" w:rsidR="00324101" w:rsidRDefault="00324101" w:rsidP="00E35C58">
      <w:pPr>
        <w:spacing w:after="0"/>
        <w:jc w:val="both"/>
        <w:rPr>
          <w:rFonts w:asciiTheme="minorHAnsi" w:hAnsiTheme="minorHAnsi"/>
          <w:szCs w:val="18"/>
        </w:rPr>
      </w:pPr>
    </w:p>
    <w:p w14:paraId="4D34DF7E" w14:textId="0C1D7E4E" w:rsidR="00324101" w:rsidRPr="00B70263" w:rsidRDefault="00324101" w:rsidP="00E35C58">
      <w:pPr>
        <w:spacing w:after="0"/>
        <w:jc w:val="both"/>
        <w:rPr>
          <w:rFonts w:asciiTheme="minorHAnsi" w:hAnsiTheme="minorHAnsi"/>
          <w:szCs w:val="18"/>
        </w:rPr>
      </w:pPr>
      <w:r w:rsidRPr="00324101">
        <w:rPr>
          <w:rFonts w:asciiTheme="minorHAnsi" w:hAnsiTheme="minorHAnsi"/>
          <w:szCs w:val="18"/>
        </w:rPr>
        <w:t>The impact of foreign exchange translation was a slight tailwind of £0.2m.   With over 50% of 2016 revenues expected to be denominated in foreign currencies (predominantly US$), the effect of currency fluctuations is expected to benefit the Company in the second half of the year.</w:t>
      </w:r>
    </w:p>
    <w:p w14:paraId="4E9BAE85" w14:textId="77777777" w:rsidR="00E35C58" w:rsidRDefault="00E35C58" w:rsidP="00E35C58">
      <w:pPr>
        <w:spacing w:after="0"/>
        <w:jc w:val="both"/>
        <w:rPr>
          <w:rFonts w:asciiTheme="minorHAnsi" w:hAnsiTheme="minorHAnsi"/>
          <w:b/>
          <w:szCs w:val="18"/>
        </w:rPr>
      </w:pPr>
    </w:p>
    <w:p w14:paraId="458304D3" w14:textId="77777777" w:rsidR="00E35C58" w:rsidRPr="00870121" w:rsidRDefault="00E35C58" w:rsidP="00E35C58">
      <w:pPr>
        <w:spacing w:after="0"/>
        <w:jc w:val="both"/>
        <w:rPr>
          <w:rFonts w:asciiTheme="minorHAnsi" w:hAnsiTheme="minorHAnsi"/>
        </w:rPr>
      </w:pPr>
      <w:r w:rsidRPr="00870121">
        <w:rPr>
          <w:rFonts w:asciiTheme="minorHAnsi" w:hAnsiTheme="minorHAnsi"/>
          <w:b/>
          <w:szCs w:val="18"/>
        </w:rPr>
        <w:t>Adjusted LBITDA and operating loss</w:t>
      </w:r>
    </w:p>
    <w:p w14:paraId="4E5CEAB1" w14:textId="4A7431B4" w:rsidR="00E35C58" w:rsidRPr="00870121" w:rsidRDefault="00E35C58" w:rsidP="00E35C58">
      <w:pPr>
        <w:spacing w:after="0"/>
        <w:jc w:val="both"/>
        <w:rPr>
          <w:rFonts w:asciiTheme="minorHAnsi" w:hAnsiTheme="minorHAnsi"/>
          <w:szCs w:val="18"/>
        </w:rPr>
      </w:pPr>
      <w:r w:rsidRPr="00870121">
        <w:rPr>
          <w:rFonts w:asciiTheme="minorHAnsi" w:hAnsiTheme="minorHAnsi"/>
          <w:szCs w:val="18"/>
        </w:rPr>
        <w:t>In the six months to 30 June 201</w:t>
      </w:r>
      <w:r w:rsidR="00D24BCC">
        <w:rPr>
          <w:rFonts w:asciiTheme="minorHAnsi" w:hAnsiTheme="minorHAnsi"/>
          <w:szCs w:val="18"/>
        </w:rPr>
        <w:t>6</w:t>
      </w:r>
      <w:r>
        <w:rPr>
          <w:rFonts w:asciiTheme="minorHAnsi" w:hAnsiTheme="minorHAnsi"/>
          <w:szCs w:val="18"/>
        </w:rPr>
        <w:t>,</w:t>
      </w:r>
      <w:r w:rsidRPr="00870121">
        <w:rPr>
          <w:rFonts w:asciiTheme="minorHAnsi" w:hAnsiTheme="minorHAnsi"/>
          <w:szCs w:val="18"/>
        </w:rPr>
        <w:t xml:space="preserve"> </w:t>
      </w:r>
      <w:r>
        <w:rPr>
          <w:rFonts w:asciiTheme="minorHAnsi" w:hAnsiTheme="minorHAnsi"/>
          <w:szCs w:val="18"/>
        </w:rPr>
        <w:t>the Company</w:t>
      </w:r>
      <w:r w:rsidRPr="00870121">
        <w:rPr>
          <w:rFonts w:asciiTheme="minorHAnsi" w:hAnsiTheme="minorHAnsi"/>
          <w:szCs w:val="18"/>
        </w:rPr>
        <w:t xml:space="preserve"> </w:t>
      </w:r>
      <w:r w:rsidR="00D24BCC">
        <w:rPr>
          <w:rFonts w:asciiTheme="minorHAnsi" w:hAnsiTheme="minorHAnsi"/>
          <w:szCs w:val="18"/>
        </w:rPr>
        <w:t>increased</w:t>
      </w:r>
      <w:r w:rsidRPr="00870121">
        <w:rPr>
          <w:rFonts w:asciiTheme="minorHAnsi" w:hAnsiTheme="minorHAnsi"/>
          <w:szCs w:val="18"/>
        </w:rPr>
        <w:t xml:space="preserve"> its adjusted LBITDA from £1.</w:t>
      </w:r>
      <w:r w:rsidR="00D24BCC">
        <w:rPr>
          <w:rFonts w:asciiTheme="minorHAnsi" w:hAnsiTheme="minorHAnsi"/>
          <w:szCs w:val="18"/>
        </w:rPr>
        <w:t>32</w:t>
      </w:r>
      <w:r w:rsidRPr="00870121">
        <w:rPr>
          <w:rFonts w:asciiTheme="minorHAnsi" w:hAnsiTheme="minorHAnsi"/>
          <w:szCs w:val="18"/>
        </w:rPr>
        <w:t>m to £</w:t>
      </w:r>
      <w:r w:rsidR="00D24BCC">
        <w:rPr>
          <w:rFonts w:asciiTheme="minorHAnsi" w:hAnsiTheme="minorHAnsi"/>
          <w:szCs w:val="18"/>
        </w:rPr>
        <w:t>2</w:t>
      </w:r>
      <w:r w:rsidRPr="00870121">
        <w:rPr>
          <w:rFonts w:asciiTheme="minorHAnsi" w:hAnsiTheme="minorHAnsi"/>
          <w:szCs w:val="18"/>
        </w:rPr>
        <w:t>.</w:t>
      </w:r>
      <w:r w:rsidR="00D24BCC">
        <w:rPr>
          <w:rFonts w:asciiTheme="minorHAnsi" w:hAnsiTheme="minorHAnsi"/>
          <w:szCs w:val="18"/>
        </w:rPr>
        <w:t>82</w:t>
      </w:r>
      <w:r w:rsidRPr="00870121">
        <w:rPr>
          <w:rFonts w:asciiTheme="minorHAnsi" w:hAnsiTheme="minorHAnsi"/>
          <w:szCs w:val="18"/>
        </w:rPr>
        <w:t>m (a</w:t>
      </w:r>
      <w:r w:rsidR="00D24BCC">
        <w:rPr>
          <w:rFonts w:asciiTheme="minorHAnsi" w:hAnsiTheme="minorHAnsi"/>
          <w:szCs w:val="18"/>
        </w:rPr>
        <w:t>n</w:t>
      </w:r>
      <w:r w:rsidRPr="00870121">
        <w:rPr>
          <w:rFonts w:asciiTheme="minorHAnsi" w:hAnsiTheme="minorHAnsi"/>
          <w:szCs w:val="18"/>
        </w:rPr>
        <w:t xml:space="preserve"> </w:t>
      </w:r>
      <w:r w:rsidR="00D24BCC">
        <w:rPr>
          <w:rFonts w:asciiTheme="minorHAnsi" w:hAnsiTheme="minorHAnsi"/>
          <w:szCs w:val="18"/>
        </w:rPr>
        <w:t>increase</w:t>
      </w:r>
      <w:r w:rsidRPr="00870121">
        <w:rPr>
          <w:rFonts w:asciiTheme="minorHAnsi" w:hAnsiTheme="minorHAnsi"/>
          <w:szCs w:val="18"/>
        </w:rPr>
        <w:t xml:space="preserve"> of </w:t>
      </w:r>
      <w:r w:rsidR="00D24BCC">
        <w:rPr>
          <w:rFonts w:asciiTheme="minorHAnsi" w:hAnsiTheme="minorHAnsi"/>
          <w:szCs w:val="18"/>
        </w:rPr>
        <w:t>114</w:t>
      </w:r>
      <w:r w:rsidRPr="00870121">
        <w:rPr>
          <w:rFonts w:asciiTheme="minorHAnsi" w:hAnsiTheme="minorHAnsi"/>
          <w:szCs w:val="18"/>
        </w:rPr>
        <w:t>%)</w:t>
      </w:r>
      <w:r w:rsidR="00D24BCC">
        <w:rPr>
          <w:rFonts w:asciiTheme="minorHAnsi" w:hAnsiTheme="minorHAnsi"/>
          <w:szCs w:val="18"/>
        </w:rPr>
        <w:t xml:space="preserve"> </w:t>
      </w:r>
      <w:r w:rsidR="0048522C">
        <w:rPr>
          <w:rFonts w:asciiTheme="minorHAnsi" w:hAnsiTheme="minorHAnsi"/>
          <w:szCs w:val="18"/>
        </w:rPr>
        <w:t xml:space="preserve">primarily reflecting the </w:t>
      </w:r>
      <w:r w:rsidR="00D24BCC">
        <w:rPr>
          <w:rFonts w:asciiTheme="minorHAnsi" w:hAnsiTheme="minorHAnsi"/>
          <w:szCs w:val="18"/>
        </w:rPr>
        <w:t>bad debt provision</w:t>
      </w:r>
      <w:r w:rsidR="007445E8">
        <w:rPr>
          <w:rFonts w:asciiTheme="minorHAnsi" w:hAnsiTheme="minorHAnsi"/>
          <w:szCs w:val="18"/>
        </w:rPr>
        <w:t>,</w:t>
      </w:r>
      <w:r w:rsidR="005C2DE7">
        <w:rPr>
          <w:rFonts w:asciiTheme="minorHAnsi" w:hAnsiTheme="minorHAnsi"/>
          <w:szCs w:val="18"/>
        </w:rPr>
        <w:t xml:space="preserve"> </w:t>
      </w:r>
      <w:r w:rsidR="00D24BCC">
        <w:rPr>
          <w:rFonts w:asciiTheme="minorHAnsi" w:hAnsiTheme="minorHAnsi"/>
          <w:szCs w:val="18"/>
        </w:rPr>
        <w:t>a small increase in overheads as the company moves from physical serve</w:t>
      </w:r>
      <w:r w:rsidR="0048522C">
        <w:rPr>
          <w:rFonts w:asciiTheme="minorHAnsi" w:hAnsiTheme="minorHAnsi"/>
          <w:szCs w:val="18"/>
        </w:rPr>
        <w:t>r</w:t>
      </w:r>
      <w:r w:rsidR="00D24BCC">
        <w:rPr>
          <w:rFonts w:asciiTheme="minorHAnsi" w:hAnsiTheme="minorHAnsi"/>
          <w:szCs w:val="18"/>
        </w:rPr>
        <w:t>s to ‘the Cloud’</w:t>
      </w:r>
      <w:r w:rsidR="007445E8">
        <w:rPr>
          <w:rFonts w:asciiTheme="minorHAnsi" w:hAnsiTheme="minorHAnsi"/>
          <w:szCs w:val="18"/>
        </w:rPr>
        <w:t xml:space="preserve"> and </w:t>
      </w:r>
      <w:r w:rsidR="0048522C">
        <w:rPr>
          <w:rFonts w:asciiTheme="minorHAnsi" w:hAnsiTheme="minorHAnsi"/>
          <w:szCs w:val="18"/>
        </w:rPr>
        <w:t>the timing of R&amp;D tax credits</w:t>
      </w:r>
      <w:r w:rsidR="007775F0">
        <w:rPr>
          <w:rFonts w:asciiTheme="minorHAnsi" w:hAnsiTheme="minorHAnsi"/>
          <w:szCs w:val="18"/>
        </w:rPr>
        <w:t>. The Company’s</w:t>
      </w:r>
      <w:r w:rsidRPr="00870121">
        <w:rPr>
          <w:rFonts w:asciiTheme="minorHAnsi" w:hAnsiTheme="minorHAnsi"/>
          <w:szCs w:val="18"/>
        </w:rPr>
        <w:t xml:space="preserve"> adjusted operating loss</w:t>
      </w:r>
      <w:r w:rsidR="007775F0">
        <w:rPr>
          <w:rFonts w:asciiTheme="minorHAnsi" w:hAnsiTheme="minorHAnsi"/>
          <w:szCs w:val="18"/>
        </w:rPr>
        <w:t xml:space="preserve"> increased</w:t>
      </w:r>
      <w:r w:rsidRPr="00870121">
        <w:rPr>
          <w:rFonts w:asciiTheme="minorHAnsi" w:hAnsiTheme="minorHAnsi"/>
          <w:szCs w:val="18"/>
        </w:rPr>
        <w:t xml:space="preserve"> from £</w:t>
      </w:r>
      <w:r w:rsidR="007775F0">
        <w:rPr>
          <w:rFonts w:asciiTheme="minorHAnsi" w:hAnsiTheme="minorHAnsi"/>
          <w:szCs w:val="18"/>
        </w:rPr>
        <w:t>1</w:t>
      </w:r>
      <w:r w:rsidRPr="00870121">
        <w:rPr>
          <w:rFonts w:asciiTheme="minorHAnsi" w:hAnsiTheme="minorHAnsi"/>
          <w:szCs w:val="18"/>
        </w:rPr>
        <w:t>.</w:t>
      </w:r>
      <w:r w:rsidR="007775F0">
        <w:rPr>
          <w:rFonts w:asciiTheme="minorHAnsi" w:hAnsiTheme="minorHAnsi"/>
          <w:szCs w:val="18"/>
        </w:rPr>
        <w:t>70</w:t>
      </w:r>
      <w:r w:rsidRPr="00870121">
        <w:rPr>
          <w:rFonts w:asciiTheme="minorHAnsi" w:hAnsiTheme="minorHAnsi"/>
          <w:szCs w:val="18"/>
        </w:rPr>
        <w:t>m to £</w:t>
      </w:r>
      <w:r w:rsidR="007775F0">
        <w:rPr>
          <w:rFonts w:asciiTheme="minorHAnsi" w:hAnsiTheme="minorHAnsi"/>
          <w:szCs w:val="18"/>
        </w:rPr>
        <w:t>3</w:t>
      </w:r>
      <w:r w:rsidRPr="00870121">
        <w:rPr>
          <w:rFonts w:asciiTheme="minorHAnsi" w:hAnsiTheme="minorHAnsi"/>
          <w:szCs w:val="18"/>
        </w:rPr>
        <w:t>.</w:t>
      </w:r>
      <w:r w:rsidR="007775F0">
        <w:rPr>
          <w:rFonts w:asciiTheme="minorHAnsi" w:hAnsiTheme="minorHAnsi"/>
          <w:szCs w:val="18"/>
        </w:rPr>
        <w:t>28m</w:t>
      </w:r>
      <w:r w:rsidRPr="00870121">
        <w:rPr>
          <w:rFonts w:asciiTheme="minorHAnsi" w:hAnsiTheme="minorHAnsi"/>
          <w:szCs w:val="18"/>
        </w:rPr>
        <w:t xml:space="preserve">. </w:t>
      </w:r>
    </w:p>
    <w:p w14:paraId="5DA4728C" w14:textId="77777777" w:rsidR="00E35C58" w:rsidRDefault="00E35C58" w:rsidP="00E35C58">
      <w:pPr>
        <w:spacing w:after="0"/>
        <w:jc w:val="both"/>
        <w:rPr>
          <w:rFonts w:asciiTheme="minorHAnsi" w:hAnsiTheme="minorHAnsi"/>
          <w:b/>
        </w:rPr>
      </w:pPr>
    </w:p>
    <w:p w14:paraId="08CB546E" w14:textId="77777777" w:rsidR="00E35C58" w:rsidRPr="00870121" w:rsidRDefault="00E35C58" w:rsidP="00E35C58">
      <w:pPr>
        <w:spacing w:after="0"/>
        <w:jc w:val="both"/>
        <w:rPr>
          <w:rFonts w:asciiTheme="minorHAnsi" w:hAnsiTheme="minorHAnsi"/>
          <w:b/>
          <w:color w:val="000000"/>
          <w:szCs w:val="18"/>
        </w:rPr>
      </w:pPr>
      <w:r w:rsidRPr="00870121">
        <w:rPr>
          <w:rFonts w:asciiTheme="minorHAnsi" w:hAnsiTheme="minorHAnsi"/>
          <w:b/>
        </w:rPr>
        <w:t>Operating loss</w:t>
      </w:r>
    </w:p>
    <w:p w14:paraId="7B72C531" w14:textId="77777777" w:rsidR="00E35C58" w:rsidRDefault="00E35C58" w:rsidP="00E35C58">
      <w:pPr>
        <w:spacing w:after="0"/>
        <w:jc w:val="both"/>
        <w:rPr>
          <w:rFonts w:asciiTheme="minorHAnsi" w:hAnsiTheme="minorHAnsi"/>
          <w:color w:val="000000"/>
          <w:szCs w:val="18"/>
        </w:rPr>
      </w:pPr>
      <w:r w:rsidRPr="00870121">
        <w:rPr>
          <w:rFonts w:asciiTheme="minorHAnsi" w:hAnsiTheme="minorHAnsi"/>
          <w:color w:val="000000"/>
          <w:szCs w:val="18"/>
        </w:rPr>
        <w:t>The op</w:t>
      </w:r>
      <w:r>
        <w:rPr>
          <w:rFonts w:asciiTheme="minorHAnsi" w:hAnsiTheme="minorHAnsi"/>
          <w:color w:val="000000"/>
          <w:szCs w:val="18"/>
        </w:rPr>
        <w:t xml:space="preserve">erating loss has </w:t>
      </w:r>
      <w:r w:rsidR="007775F0">
        <w:rPr>
          <w:rFonts w:asciiTheme="minorHAnsi" w:hAnsiTheme="minorHAnsi"/>
          <w:color w:val="000000"/>
          <w:szCs w:val="18"/>
        </w:rPr>
        <w:t>increased</w:t>
      </w:r>
      <w:r w:rsidRPr="00870121">
        <w:rPr>
          <w:rFonts w:asciiTheme="minorHAnsi" w:hAnsiTheme="minorHAnsi"/>
          <w:color w:val="000000"/>
          <w:szCs w:val="18"/>
        </w:rPr>
        <w:t>, from £</w:t>
      </w:r>
      <w:r w:rsidR="007775F0">
        <w:rPr>
          <w:rFonts w:asciiTheme="minorHAnsi" w:hAnsiTheme="minorHAnsi"/>
          <w:color w:val="000000"/>
          <w:szCs w:val="18"/>
        </w:rPr>
        <w:t>1</w:t>
      </w:r>
      <w:r w:rsidRPr="00870121">
        <w:rPr>
          <w:rFonts w:asciiTheme="minorHAnsi" w:hAnsiTheme="minorHAnsi"/>
          <w:color w:val="000000"/>
          <w:szCs w:val="18"/>
        </w:rPr>
        <w:t>.</w:t>
      </w:r>
      <w:r w:rsidR="007775F0">
        <w:rPr>
          <w:rFonts w:asciiTheme="minorHAnsi" w:hAnsiTheme="minorHAnsi"/>
          <w:color w:val="000000"/>
          <w:szCs w:val="18"/>
        </w:rPr>
        <w:t>84</w:t>
      </w:r>
      <w:r w:rsidRPr="00870121">
        <w:rPr>
          <w:rFonts w:asciiTheme="minorHAnsi" w:hAnsiTheme="minorHAnsi"/>
          <w:color w:val="000000"/>
          <w:szCs w:val="18"/>
        </w:rPr>
        <w:t>m to £</w:t>
      </w:r>
      <w:r w:rsidR="007775F0">
        <w:rPr>
          <w:rFonts w:asciiTheme="minorHAnsi" w:hAnsiTheme="minorHAnsi"/>
          <w:color w:val="000000"/>
          <w:szCs w:val="18"/>
        </w:rPr>
        <w:t>3</w:t>
      </w:r>
      <w:r w:rsidRPr="00870121">
        <w:rPr>
          <w:rFonts w:asciiTheme="minorHAnsi" w:hAnsiTheme="minorHAnsi"/>
          <w:color w:val="000000"/>
          <w:szCs w:val="18"/>
        </w:rPr>
        <w:t>.</w:t>
      </w:r>
      <w:r w:rsidR="007775F0">
        <w:rPr>
          <w:rFonts w:asciiTheme="minorHAnsi" w:hAnsiTheme="minorHAnsi"/>
          <w:color w:val="000000"/>
          <w:szCs w:val="18"/>
        </w:rPr>
        <w:t>3</w:t>
      </w:r>
      <w:r w:rsidRPr="00870121">
        <w:rPr>
          <w:rFonts w:asciiTheme="minorHAnsi" w:hAnsiTheme="minorHAnsi"/>
          <w:color w:val="000000"/>
          <w:szCs w:val="18"/>
        </w:rPr>
        <w:t>8m</w:t>
      </w:r>
      <w:r>
        <w:rPr>
          <w:rFonts w:asciiTheme="minorHAnsi" w:hAnsiTheme="minorHAnsi"/>
          <w:color w:val="000000"/>
          <w:szCs w:val="18"/>
        </w:rPr>
        <w:t xml:space="preserve">. </w:t>
      </w:r>
    </w:p>
    <w:p w14:paraId="7D03E2B5" w14:textId="77777777" w:rsidR="00E35C58" w:rsidRDefault="00E35C58" w:rsidP="00E35C58">
      <w:pPr>
        <w:spacing w:after="0"/>
        <w:jc w:val="both"/>
        <w:rPr>
          <w:rFonts w:asciiTheme="minorHAnsi" w:hAnsiTheme="minorHAnsi"/>
          <w:b/>
          <w:color w:val="000000"/>
          <w:szCs w:val="18"/>
        </w:rPr>
      </w:pPr>
    </w:p>
    <w:p w14:paraId="191D27FA" w14:textId="77777777" w:rsidR="00E35C58" w:rsidRPr="00784641" w:rsidRDefault="00E35C58" w:rsidP="00E35C58">
      <w:pPr>
        <w:spacing w:after="0"/>
        <w:jc w:val="both"/>
        <w:rPr>
          <w:rFonts w:asciiTheme="minorHAnsi" w:hAnsiTheme="minorHAnsi"/>
          <w:b/>
          <w:color w:val="000000"/>
          <w:szCs w:val="18"/>
        </w:rPr>
      </w:pPr>
      <w:r w:rsidRPr="00784641">
        <w:rPr>
          <w:rFonts w:asciiTheme="minorHAnsi" w:hAnsiTheme="minorHAnsi"/>
          <w:b/>
          <w:color w:val="000000"/>
          <w:szCs w:val="18"/>
        </w:rPr>
        <w:t>Other gains and losses</w:t>
      </w:r>
    </w:p>
    <w:p w14:paraId="0E935CCB" w14:textId="7DA3A1DF" w:rsidR="00E35C58" w:rsidRDefault="007775F0" w:rsidP="00E35C58">
      <w:pPr>
        <w:spacing w:after="0"/>
        <w:jc w:val="both"/>
        <w:rPr>
          <w:rFonts w:asciiTheme="minorHAnsi" w:hAnsiTheme="minorHAnsi"/>
          <w:color w:val="000000"/>
          <w:szCs w:val="18"/>
        </w:rPr>
      </w:pPr>
      <w:r>
        <w:rPr>
          <w:rFonts w:asciiTheme="minorHAnsi" w:hAnsiTheme="minorHAnsi"/>
          <w:color w:val="000000"/>
          <w:szCs w:val="18"/>
        </w:rPr>
        <w:lastRenderedPageBreak/>
        <w:t>In 2015, there was an impairment loss as a result of the G</w:t>
      </w:r>
      <w:r w:rsidR="00E35C58">
        <w:rPr>
          <w:rFonts w:asciiTheme="minorHAnsi" w:hAnsiTheme="minorHAnsi"/>
          <w:color w:val="000000"/>
          <w:szCs w:val="18"/>
        </w:rPr>
        <w:t>roup dispos</w:t>
      </w:r>
      <w:r>
        <w:rPr>
          <w:rFonts w:asciiTheme="minorHAnsi" w:hAnsiTheme="minorHAnsi"/>
          <w:color w:val="000000"/>
          <w:szCs w:val="18"/>
        </w:rPr>
        <w:t>ing</w:t>
      </w:r>
      <w:r w:rsidR="00E35C58">
        <w:rPr>
          <w:rFonts w:asciiTheme="minorHAnsi" w:hAnsiTheme="minorHAnsi"/>
          <w:color w:val="000000"/>
          <w:szCs w:val="18"/>
        </w:rPr>
        <w:t xml:space="preserve"> of its remaining interest</w:t>
      </w:r>
      <w:r>
        <w:rPr>
          <w:rFonts w:asciiTheme="minorHAnsi" w:hAnsiTheme="minorHAnsi"/>
          <w:color w:val="000000"/>
          <w:szCs w:val="18"/>
        </w:rPr>
        <w:t xml:space="preserve"> in Audioboom for £1.9m. This resulted</w:t>
      </w:r>
      <w:r w:rsidR="00E35C58">
        <w:rPr>
          <w:rFonts w:asciiTheme="minorHAnsi" w:hAnsiTheme="minorHAnsi"/>
          <w:color w:val="000000"/>
          <w:szCs w:val="18"/>
        </w:rPr>
        <w:t xml:space="preserve"> in an impairment loss of £4.8m during </w:t>
      </w:r>
      <w:r>
        <w:rPr>
          <w:rFonts w:asciiTheme="minorHAnsi" w:hAnsiTheme="minorHAnsi"/>
          <w:color w:val="000000"/>
          <w:szCs w:val="18"/>
        </w:rPr>
        <w:t>2015</w:t>
      </w:r>
      <w:r w:rsidR="00E35C58">
        <w:rPr>
          <w:rFonts w:asciiTheme="minorHAnsi" w:hAnsiTheme="minorHAnsi"/>
          <w:color w:val="000000"/>
          <w:szCs w:val="18"/>
        </w:rPr>
        <w:t>.</w:t>
      </w:r>
      <w:r>
        <w:rPr>
          <w:rFonts w:asciiTheme="minorHAnsi" w:hAnsiTheme="minorHAnsi"/>
          <w:color w:val="000000"/>
          <w:szCs w:val="18"/>
        </w:rPr>
        <w:t xml:space="preserve"> There were no other gains and losses in 2016</w:t>
      </w:r>
    </w:p>
    <w:p w14:paraId="465B8959" w14:textId="77777777" w:rsidR="007775F0" w:rsidRPr="00784641" w:rsidRDefault="007775F0" w:rsidP="00E35C58">
      <w:pPr>
        <w:spacing w:after="0"/>
        <w:jc w:val="both"/>
        <w:rPr>
          <w:rFonts w:asciiTheme="minorHAnsi" w:hAnsiTheme="minorHAnsi"/>
          <w:b/>
          <w:color w:val="000000"/>
          <w:szCs w:val="18"/>
        </w:rPr>
      </w:pPr>
    </w:p>
    <w:p w14:paraId="40B0FE9D" w14:textId="77777777" w:rsidR="00E35C58" w:rsidRPr="00784641" w:rsidRDefault="00E35C58" w:rsidP="00E35C58">
      <w:pPr>
        <w:spacing w:after="0"/>
        <w:jc w:val="both"/>
        <w:rPr>
          <w:rFonts w:asciiTheme="minorHAnsi" w:hAnsiTheme="minorHAnsi"/>
          <w:b/>
          <w:color w:val="000000"/>
          <w:szCs w:val="18"/>
        </w:rPr>
      </w:pPr>
      <w:r w:rsidRPr="00784641">
        <w:rPr>
          <w:rFonts w:asciiTheme="minorHAnsi" w:hAnsiTheme="minorHAnsi"/>
          <w:b/>
          <w:color w:val="000000"/>
          <w:szCs w:val="18"/>
        </w:rPr>
        <w:t>Statutory loss</w:t>
      </w:r>
    </w:p>
    <w:p w14:paraId="61249A5C" w14:textId="77777777" w:rsidR="00E35C58" w:rsidRPr="00870121" w:rsidRDefault="007775F0" w:rsidP="00E35C58">
      <w:pPr>
        <w:spacing w:after="0"/>
        <w:jc w:val="both"/>
        <w:rPr>
          <w:rFonts w:asciiTheme="minorHAnsi" w:hAnsiTheme="minorHAnsi"/>
          <w:color w:val="000000"/>
          <w:szCs w:val="18"/>
        </w:rPr>
      </w:pPr>
      <w:r>
        <w:rPr>
          <w:rFonts w:asciiTheme="minorHAnsi" w:hAnsiTheme="minorHAnsi"/>
          <w:color w:val="000000"/>
          <w:szCs w:val="18"/>
        </w:rPr>
        <w:t>Statutory loss for the period has decreased by 51% as a result of the impairment loss incurred in 2015. The Company benefitted from the weakening of the pound in June 2016 and recorded a foreign exchange gain of £200k.</w:t>
      </w:r>
    </w:p>
    <w:p w14:paraId="5442A6A5" w14:textId="77777777" w:rsidR="00E35C58" w:rsidRDefault="00E35C58" w:rsidP="00E35C58">
      <w:pPr>
        <w:pStyle w:val="Heading2"/>
        <w:spacing w:after="0"/>
        <w:jc w:val="both"/>
        <w:rPr>
          <w:rFonts w:asciiTheme="minorHAnsi" w:hAnsiTheme="minorHAnsi"/>
          <w:bCs w:val="0"/>
          <w:iCs w:val="0"/>
          <w:noProof/>
          <w:color w:val="000000"/>
          <w:sz w:val="18"/>
          <w:szCs w:val="18"/>
        </w:rPr>
      </w:pPr>
    </w:p>
    <w:p w14:paraId="1BFFDF03" w14:textId="77777777" w:rsidR="00E35C58" w:rsidRPr="00870121" w:rsidRDefault="00E35C58" w:rsidP="00E35C58">
      <w:pPr>
        <w:pStyle w:val="Heading2"/>
        <w:spacing w:after="0"/>
        <w:jc w:val="both"/>
        <w:rPr>
          <w:rFonts w:asciiTheme="minorHAnsi" w:hAnsiTheme="minorHAnsi"/>
          <w:bCs w:val="0"/>
          <w:iCs w:val="0"/>
          <w:noProof/>
          <w:color w:val="000000"/>
          <w:sz w:val="18"/>
          <w:szCs w:val="18"/>
        </w:rPr>
      </w:pPr>
      <w:r w:rsidRPr="00870121">
        <w:rPr>
          <w:rFonts w:asciiTheme="minorHAnsi" w:hAnsiTheme="minorHAnsi"/>
          <w:bCs w:val="0"/>
          <w:iCs w:val="0"/>
          <w:noProof/>
          <w:color w:val="000000"/>
          <w:sz w:val="18"/>
          <w:szCs w:val="18"/>
        </w:rPr>
        <w:t>Cash flow &amp; cash position</w:t>
      </w:r>
    </w:p>
    <w:p w14:paraId="421B2C1D" w14:textId="5D51521B" w:rsidR="00E35C58" w:rsidRPr="00870121" w:rsidRDefault="00E35C58" w:rsidP="00E35C58">
      <w:pPr>
        <w:spacing w:after="0"/>
        <w:jc w:val="both"/>
        <w:rPr>
          <w:rFonts w:ascii="Calibri" w:hAnsi="Calibri"/>
          <w:color w:val="000000"/>
          <w:szCs w:val="18"/>
        </w:rPr>
      </w:pPr>
      <w:r w:rsidRPr="00870121">
        <w:rPr>
          <w:rFonts w:asciiTheme="minorHAnsi" w:hAnsiTheme="minorHAnsi"/>
          <w:color w:val="000000"/>
          <w:szCs w:val="18"/>
        </w:rPr>
        <w:t>In the six months to 30 June 201</w:t>
      </w:r>
      <w:r w:rsidR="007775F0">
        <w:rPr>
          <w:rFonts w:asciiTheme="minorHAnsi" w:hAnsiTheme="minorHAnsi"/>
          <w:color w:val="000000"/>
          <w:szCs w:val="18"/>
        </w:rPr>
        <w:t>6</w:t>
      </w:r>
      <w:r>
        <w:rPr>
          <w:rFonts w:asciiTheme="minorHAnsi" w:hAnsiTheme="minorHAnsi"/>
          <w:color w:val="000000"/>
          <w:szCs w:val="18"/>
        </w:rPr>
        <w:t>,</w:t>
      </w:r>
      <w:r w:rsidRPr="00870121">
        <w:rPr>
          <w:rFonts w:asciiTheme="minorHAnsi" w:hAnsiTheme="minorHAnsi"/>
          <w:color w:val="000000"/>
          <w:szCs w:val="18"/>
        </w:rPr>
        <w:t xml:space="preserve"> </w:t>
      </w:r>
      <w:r>
        <w:rPr>
          <w:rFonts w:asciiTheme="minorHAnsi" w:hAnsiTheme="minorHAnsi"/>
          <w:color w:val="000000"/>
          <w:szCs w:val="18"/>
        </w:rPr>
        <w:t>the Company</w:t>
      </w:r>
      <w:r w:rsidRPr="00870121">
        <w:rPr>
          <w:rFonts w:asciiTheme="minorHAnsi" w:hAnsiTheme="minorHAnsi"/>
          <w:color w:val="000000"/>
          <w:szCs w:val="18"/>
        </w:rPr>
        <w:t xml:space="preserve"> had a cash outflow fr</w:t>
      </w:r>
      <w:r>
        <w:rPr>
          <w:rFonts w:asciiTheme="minorHAnsi" w:hAnsiTheme="minorHAnsi"/>
          <w:color w:val="000000"/>
          <w:szCs w:val="18"/>
        </w:rPr>
        <w:t>om operating activities of £</w:t>
      </w:r>
      <w:r w:rsidR="007775F0">
        <w:rPr>
          <w:rFonts w:asciiTheme="minorHAnsi" w:hAnsiTheme="minorHAnsi"/>
          <w:color w:val="000000"/>
          <w:szCs w:val="18"/>
        </w:rPr>
        <w:t>0</w:t>
      </w:r>
      <w:r>
        <w:rPr>
          <w:rFonts w:asciiTheme="minorHAnsi" w:hAnsiTheme="minorHAnsi"/>
          <w:color w:val="000000"/>
          <w:szCs w:val="18"/>
        </w:rPr>
        <w:t>.</w:t>
      </w:r>
      <w:r w:rsidR="007775F0">
        <w:rPr>
          <w:rFonts w:asciiTheme="minorHAnsi" w:hAnsiTheme="minorHAnsi"/>
          <w:color w:val="000000"/>
          <w:szCs w:val="18"/>
        </w:rPr>
        <w:t>64</w:t>
      </w:r>
      <w:r w:rsidRPr="00870121">
        <w:rPr>
          <w:rFonts w:asciiTheme="minorHAnsi" w:hAnsiTheme="minorHAnsi"/>
          <w:color w:val="000000"/>
          <w:szCs w:val="18"/>
        </w:rPr>
        <w:t>m (H1 201</w:t>
      </w:r>
      <w:r w:rsidR="007775F0">
        <w:rPr>
          <w:rFonts w:asciiTheme="minorHAnsi" w:hAnsiTheme="minorHAnsi"/>
          <w:color w:val="000000"/>
          <w:szCs w:val="18"/>
        </w:rPr>
        <w:t>5</w:t>
      </w:r>
      <w:r w:rsidRPr="00870121">
        <w:rPr>
          <w:rFonts w:asciiTheme="minorHAnsi" w:hAnsiTheme="minorHAnsi"/>
          <w:color w:val="000000"/>
          <w:szCs w:val="18"/>
        </w:rPr>
        <w:t>: £2.</w:t>
      </w:r>
      <w:r w:rsidR="007775F0">
        <w:rPr>
          <w:rFonts w:asciiTheme="minorHAnsi" w:hAnsiTheme="minorHAnsi"/>
          <w:color w:val="000000"/>
          <w:szCs w:val="18"/>
        </w:rPr>
        <w:t>31</w:t>
      </w:r>
      <w:r w:rsidRPr="00870121">
        <w:rPr>
          <w:rFonts w:asciiTheme="minorHAnsi" w:hAnsiTheme="minorHAnsi"/>
          <w:color w:val="000000"/>
          <w:szCs w:val="18"/>
        </w:rPr>
        <w:t>m). At 30 June 201</w:t>
      </w:r>
      <w:r w:rsidR="001832D4">
        <w:rPr>
          <w:rFonts w:asciiTheme="minorHAnsi" w:hAnsiTheme="minorHAnsi"/>
          <w:color w:val="000000"/>
          <w:szCs w:val="18"/>
        </w:rPr>
        <w:t>6</w:t>
      </w:r>
      <w:r w:rsidRPr="00870121">
        <w:rPr>
          <w:rFonts w:asciiTheme="minorHAnsi" w:hAnsiTheme="minorHAnsi"/>
          <w:color w:val="000000"/>
          <w:szCs w:val="18"/>
        </w:rPr>
        <w:t xml:space="preserve">, </w:t>
      </w:r>
      <w:r>
        <w:rPr>
          <w:rFonts w:asciiTheme="minorHAnsi" w:hAnsiTheme="minorHAnsi"/>
          <w:color w:val="000000"/>
          <w:szCs w:val="18"/>
        </w:rPr>
        <w:t>cash in bank was £</w:t>
      </w:r>
      <w:r w:rsidR="001832D4">
        <w:rPr>
          <w:rFonts w:asciiTheme="minorHAnsi" w:hAnsiTheme="minorHAnsi"/>
          <w:color w:val="000000"/>
          <w:szCs w:val="18"/>
        </w:rPr>
        <w:t>1</w:t>
      </w:r>
      <w:r>
        <w:rPr>
          <w:rFonts w:asciiTheme="minorHAnsi" w:hAnsiTheme="minorHAnsi"/>
          <w:color w:val="000000"/>
          <w:szCs w:val="18"/>
        </w:rPr>
        <w:t>.</w:t>
      </w:r>
      <w:r w:rsidR="001832D4">
        <w:rPr>
          <w:rFonts w:asciiTheme="minorHAnsi" w:hAnsiTheme="minorHAnsi"/>
          <w:color w:val="000000"/>
          <w:szCs w:val="18"/>
        </w:rPr>
        <w:t>11</w:t>
      </w:r>
      <w:r w:rsidRPr="00870121">
        <w:rPr>
          <w:rFonts w:asciiTheme="minorHAnsi" w:hAnsiTheme="minorHAnsi"/>
          <w:color w:val="000000"/>
          <w:szCs w:val="18"/>
        </w:rPr>
        <w:t>m (</w:t>
      </w:r>
      <w:r w:rsidR="000B68E5">
        <w:rPr>
          <w:rFonts w:asciiTheme="minorHAnsi" w:hAnsiTheme="minorHAnsi"/>
          <w:color w:val="000000"/>
          <w:szCs w:val="18"/>
        </w:rPr>
        <w:t xml:space="preserve">30 June </w:t>
      </w:r>
      <w:r w:rsidRPr="00870121">
        <w:rPr>
          <w:rFonts w:asciiTheme="minorHAnsi" w:hAnsiTheme="minorHAnsi"/>
          <w:color w:val="000000"/>
          <w:szCs w:val="18"/>
        </w:rPr>
        <w:t>201</w:t>
      </w:r>
      <w:r w:rsidR="001832D4">
        <w:rPr>
          <w:rFonts w:asciiTheme="minorHAnsi" w:hAnsiTheme="minorHAnsi"/>
          <w:color w:val="000000"/>
          <w:szCs w:val="18"/>
        </w:rPr>
        <w:t>5</w:t>
      </w:r>
      <w:r w:rsidRPr="00870121">
        <w:rPr>
          <w:rFonts w:asciiTheme="minorHAnsi" w:hAnsiTheme="minorHAnsi"/>
          <w:color w:val="000000"/>
          <w:szCs w:val="18"/>
        </w:rPr>
        <w:t>: £</w:t>
      </w:r>
      <w:r w:rsidR="001832D4">
        <w:rPr>
          <w:rFonts w:asciiTheme="minorHAnsi" w:hAnsiTheme="minorHAnsi"/>
          <w:color w:val="000000"/>
          <w:szCs w:val="18"/>
        </w:rPr>
        <w:t>2</w:t>
      </w:r>
      <w:r w:rsidRPr="00870121">
        <w:rPr>
          <w:rFonts w:asciiTheme="minorHAnsi" w:hAnsiTheme="minorHAnsi"/>
          <w:color w:val="000000"/>
          <w:szCs w:val="18"/>
        </w:rPr>
        <w:t>.</w:t>
      </w:r>
      <w:r w:rsidR="001832D4">
        <w:rPr>
          <w:rFonts w:asciiTheme="minorHAnsi" w:hAnsiTheme="minorHAnsi"/>
          <w:color w:val="000000"/>
          <w:szCs w:val="18"/>
        </w:rPr>
        <w:t>47</w:t>
      </w:r>
      <w:r w:rsidRPr="00870121">
        <w:rPr>
          <w:rFonts w:asciiTheme="minorHAnsi" w:hAnsiTheme="minorHAnsi"/>
          <w:color w:val="000000"/>
          <w:szCs w:val="18"/>
        </w:rPr>
        <w:t>m</w:t>
      </w:r>
      <w:r w:rsidRPr="00870121">
        <w:rPr>
          <w:rFonts w:ascii="Calibri" w:hAnsi="Calibri"/>
          <w:color w:val="000000"/>
          <w:szCs w:val="18"/>
        </w:rPr>
        <w:t xml:space="preserve">). </w:t>
      </w:r>
    </w:p>
    <w:p w14:paraId="27782CF4" w14:textId="77777777" w:rsidR="00E35C58" w:rsidRDefault="00E35C58" w:rsidP="00E35C58">
      <w:pPr>
        <w:spacing w:after="0"/>
        <w:jc w:val="both"/>
        <w:rPr>
          <w:rFonts w:ascii="Calibri" w:hAnsi="Calibri"/>
          <w:b/>
          <w:color w:val="000000"/>
          <w:szCs w:val="18"/>
          <w:highlight w:val="yellow"/>
        </w:rPr>
      </w:pPr>
    </w:p>
    <w:p w14:paraId="48614D01" w14:textId="77777777" w:rsidR="00E35C58" w:rsidRPr="008B14DD" w:rsidRDefault="00E35C58" w:rsidP="00E35C58">
      <w:pPr>
        <w:spacing w:after="0"/>
        <w:jc w:val="both"/>
        <w:rPr>
          <w:rFonts w:ascii="Calibri" w:hAnsi="Calibri"/>
          <w:b/>
          <w:color w:val="000000"/>
          <w:szCs w:val="18"/>
        </w:rPr>
      </w:pPr>
      <w:r w:rsidRPr="008B14DD">
        <w:rPr>
          <w:rFonts w:ascii="Calibri" w:hAnsi="Calibri"/>
          <w:b/>
          <w:color w:val="000000"/>
          <w:szCs w:val="18"/>
        </w:rPr>
        <w:t>Loss per share</w:t>
      </w:r>
    </w:p>
    <w:p w14:paraId="16C8BBC4" w14:textId="2DD7FFF5" w:rsidR="00F032FF" w:rsidRDefault="00E35C58" w:rsidP="00F032FF">
      <w:pPr>
        <w:spacing w:after="0"/>
        <w:jc w:val="both"/>
        <w:rPr>
          <w:rFonts w:ascii="Calibri" w:hAnsi="Calibri"/>
          <w:color w:val="000000"/>
          <w:szCs w:val="18"/>
        </w:rPr>
      </w:pPr>
      <w:r w:rsidRPr="008B14DD">
        <w:rPr>
          <w:rFonts w:ascii="Calibri" w:hAnsi="Calibri"/>
          <w:color w:val="000000"/>
          <w:szCs w:val="18"/>
        </w:rPr>
        <w:t>In the six months to 30 June 201</w:t>
      </w:r>
      <w:r w:rsidR="001832D4">
        <w:rPr>
          <w:rFonts w:ascii="Calibri" w:hAnsi="Calibri"/>
          <w:color w:val="000000"/>
          <w:szCs w:val="18"/>
        </w:rPr>
        <w:t>6</w:t>
      </w:r>
      <w:r w:rsidRPr="008B14DD">
        <w:rPr>
          <w:rFonts w:ascii="Calibri" w:hAnsi="Calibri"/>
          <w:color w:val="000000"/>
          <w:szCs w:val="18"/>
        </w:rPr>
        <w:t xml:space="preserve"> </w:t>
      </w:r>
      <w:r>
        <w:rPr>
          <w:rFonts w:ascii="Calibri" w:hAnsi="Calibri"/>
          <w:color w:val="000000"/>
          <w:szCs w:val="18"/>
        </w:rPr>
        <w:t>the Company</w:t>
      </w:r>
      <w:r w:rsidRPr="008B14DD">
        <w:rPr>
          <w:rFonts w:ascii="Calibri" w:hAnsi="Calibri"/>
          <w:color w:val="000000"/>
          <w:szCs w:val="18"/>
        </w:rPr>
        <w:t xml:space="preserve"> reported a basic and diluted loss per share of </w:t>
      </w:r>
      <w:r w:rsidR="001832D4">
        <w:rPr>
          <w:rFonts w:ascii="Calibri" w:hAnsi="Calibri"/>
          <w:color w:val="000000"/>
          <w:szCs w:val="18"/>
        </w:rPr>
        <w:t>2</w:t>
      </w:r>
      <w:r w:rsidRPr="008B14DD">
        <w:rPr>
          <w:rFonts w:ascii="Calibri" w:hAnsi="Calibri"/>
          <w:color w:val="000000"/>
          <w:szCs w:val="18"/>
        </w:rPr>
        <w:t>.</w:t>
      </w:r>
      <w:r w:rsidR="001832D4">
        <w:rPr>
          <w:rFonts w:ascii="Calibri" w:hAnsi="Calibri"/>
          <w:color w:val="000000"/>
          <w:szCs w:val="18"/>
        </w:rPr>
        <w:t>87</w:t>
      </w:r>
      <w:r w:rsidRPr="008B14DD">
        <w:rPr>
          <w:rFonts w:ascii="Calibri" w:hAnsi="Calibri"/>
          <w:color w:val="000000"/>
          <w:szCs w:val="18"/>
        </w:rPr>
        <w:t xml:space="preserve"> pence. </w:t>
      </w:r>
    </w:p>
    <w:p w14:paraId="5283305C" w14:textId="77777777" w:rsidR="00F032FF" w:rsidRDefault="00F032FF" w:rsidP="00F032FF">
      <w:pPr>
        <w:spacing w:after="0"/>
        <w:jc w:val="both"/>
        <w:rPr>
          <w:rFonts w:ascii="Calibri" w:hAnsi="Calibri"/>
          <w:color w:val="000000"/>
          <w:szCs w:val="18"/>
        </w:rPr>
      </w:pPr>
    </w:p>
    <w:p w14:paraId="0DE30D28" w14:textId="77777777" w:rsidR="00F032FF" w:rsidRDefault="00F032FF" w:rsidP="00F032FF">
      <w:pPr>
        <w:spacing w:after="0"/>
        <w:jc w:val="both"/>
        <w:rPr>
          <w:rFonts w:ascii="Calibri" w:hAnsi="Calibri"/>
          <w:color w:val="000000"/>
          <w:szCs w:val="18"/>
        </w:rPr>
      </w:pPr>
    </w:p>
    <w:p w14:paraId="2B4B78D2" w14:textId="77777777" w:rsidR="00F032FF" w:rsidRDefault="00F032FF">
      <w:pPr>
        <w:spacing w:after="160" w:line="259" w:lineRule="auto"/>
        <w:rPr>
          <w:b/>
          <w:sz w:val="22"/>
        </w:rPr>
      </w:pPr>
      <w:r>
        <w:rPr>
          <w:b/>
        </w:rPr>
        <w:br w:type="page"/>
      </w:r>
    </w:p>
    <w:p w14:paraId="4AC89500" w14:textId="3F473F12" w:rsidR="00F032FF" w:rsidRPr="004F7E52" w:rsidRDefault="00F032FF" w:rsidP="00F032FF">
      <w:pPr>
        <w:pStyle w:val="Header"/>
        <w:rPr>
          <w:b/>
        </w:rPr>
      </w:pPr>
      <w:r>
        <w:rPr>
          <w:b/>
        </w:rPr>
        <w:lastRenderedPageBreak/>
        <w:t xml:space="preserve">7digital </w:t>
      </w:r>
      <w:r w:rsidRPr="004F7E52">
        <w:rPr>
          <w:b/>
        </w:rPr>
        <w:t>Group plc</w:t>
      </w:r>
    </w:p>
    <w:p w14:paraId="0C08FCCA" w14:textId="77777777" w:rsidR="00F032FF" w:rsidRDefault="00F032FF" w:rsidP="00F032FF">
      <w:pPr>
        <w:pStyle w:val="Header"/>
        <w:rPr>
          <w:b/>
        </w:rPr>
      </w:pPr>
      <w:r>
        <w:rPr>
          <w:b/>
        </w:rPr>
        <w:t>Condensed consolidated statement of comprehensive income</w:t>
      </w:r>
    </w:p>
    <w:p w14:paraId="4FD6986A" w14:textId="76A1FBD6" w:rsidR="00F032FF" w:rsidRDefault="00F032FF" w:rsidP="00F032FF">
      <w:pPr>
        <w:pStyle w:val="Header"/>
        <w:rPr>
          <w:b/>
        </w:rPr>
      </w:pPr>
      <w:r>
        <w:rPr>
          <w:b/>
        </w:rPr>
        <w:t>Six months ended 30 June 2016 (unaudited)</w:t>
      </w:r>
      <w:r>
        <w:rPr>
          <w:b/>
        </w:rPr>
        <w:br/>
      </w:r>
    </w:p>
    <w:tbl>
      <w:tblPr>
        <w:tblW w:w="9106" w:type="dxa"/>
        <w:tblInd w:w="108" w:type="dxa"/>
        <w:tblLayout w:type="fixed"/>
        <w:tblLook w:val="04A0" w:firstRow="1" w:lastRow="0" w:firstColumn="1" w:lastColumn="0" w:noHBand="0" w:noVBand="1"/>
      </w:tblPr>
      <w:tblGrid>
        <w:gridCol w:w="4140"/>
        <w:gridCol w:w="720"/>
        <w:gridCol w:w="1377"/>
        <w:gridCol w:w="284"/>
        <w:gridCol w:w="1225"/>
        <w:gridCol w:w="280"/>
        <w:gridCol w:w="1080"/>
      </w:tblGrid>
      <w:tr w:rsidR="00361FA6" w:rsidRPr="00361FA6" w14:paraId="07031443" w14:textId="77777777" w:rsidTr="00B71EAB">
        <w:trPr>
          <w:trHeight w:val="960"/>
        </w:trPr>
        <w:tc>
          <w:tcPr>
            <w:tcW w:w="4140" w:type="dxa"/>
            <w:tcBorders>
              <w:top w:val="nil"/>
              <w:left w:val="nil"/>
              <w:bottom w:val="nil"/>
              <w:right w:val="nil"/>
            </w:tcBorders>
            <w:shd w:val="clear" w:color="000000" w:fill="FFFFFF"/>
            <w:vAlign w:val="center"/>
            <w:hideMark/>
          </w:tcPr>
          <w:p w14:paraId="322ACF10"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vAlign w:val="center"/>
            <w:hideMark/>
          </w:tcPr>
          <w:p w14:paraId="2F566CA9"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vAlign w:val="center"/>
            <w:hideMark/>
          </w:tcPr>
          <w:p w14:paraId="21934CB0" w14:textId="77777777" w:rsidR="00B71EAB"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Unaudited six months ended</w:t>
            </w:r>
          </w:p>
          <w:p w14:paraId="2AF1C5BE"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30 June 2016</w:t>
            </w:r>
          </w:p>
        </w:tc>
        <w:tc>
          <w:tcPr>
            <w:tcW w:w="284" w:type="dxa"/>
            <w:tcBorders>
              <w:top w:val="nil"/>
              <w:left w:val="nil"/>
              <w:bottom w:val="nil"/>
              <w:right w:val="nil"/>
            </w:tcBorders>
            <w:shd w:val="clear" w:color="000000" w:fill="FFFFFF"/>
            <w:vAlign w:val="center"/>
            <w:hideMark/>
          </w:tcPr>
          <w:p w14:paraId="183BE0A5"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4C25CC85"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Unaudited six months ended 30 June 2015</w:t>
            </w:r>
          </w:p>
        </w:tc>
        <w:tc>
          <w:tcPr>
            <w:tcW w:w="280" w:type="dxa"/>
            <w:tcBorders>
              <w:top w:val="nil"/>
              <w:left w:val="nil"/>
              <w:bottom w:val="nil"/>
              <w:right w:val="nil"/>
            </w:tcBorders>
            <w:shd w:val="clear" w:color="000000" w:fill="FFFFFF"/>
            <w:vAlign w:val="center"/>
            <w:hideMark/>
          </w:tcPr>
          <w:p w14:paraId="6123D51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36B2DE33"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Audited full year ended 31 Dec 2015</w:t>
            </w:r>
          </w:p>
        </w:tc>
      </w:tr>
      <w:tr w:rsidR="00361FA6" w:rsidRPr="00361FA6" w14:paraId="0E62B4C1" w14:textId="77777777" w:rsidTr="00B71EAB">
        <w:trPr>
          <w:trHeight w:val="240"/>
        </w:trPr>
        <w:tc>
          <w:tcPr>
            <w:tcW w:w="4140" w:type="dxa"/>
            <w:tcBorders>
              <w:top w:val="nil"/>
              <w:left w:val="nil"/>
              <w:bottom w:val="nil"/>
              <w:right w:val="nil"/>
            </w:tcBorders>
            <w:shd w:val="clear" w:color="000000" w:fill="FFFFFF"/>
            <w:noWrap/>
            <w:vAlign w:val="center"/>
            <w:hideMark/>
          </w:tcPr>
          <w:p w14:paraId="1C2CF7A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noWrap/>
            <w:vAlign w:val="center"/>
            <w:hideMark/>
          </w:tcPr>
          <w:p w14:paraId="04249231"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Notes</w:t>
            </w:r>
          </w:p>
        </w:tc>
        <w:tc>
          <w:tcPr>
            <w:tcW w:w="1377" w:type="dxa"/>
            <w:tcBorders>
              <w:top w:val="nil"/>
              <w:left w:val="nil"/>
              <w:bottom w:val="nil"/>
              <w:right w:val="nil"/>
            </w:tcBorders>
            <w:shd w:val="clear" w:color="000000" w:fill="FFFFFF"/>
            <w:noWrap/>
            <w:vAlign w:val="center"/>
            <w:hideMark/>
          </w:tcPr>
          <w:p w14:paraId="0A0905D8"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£'000</w:t>
            </w:r>
          </w:p>
        </w:tc>
        <w:tc>
          <w:tcPr>
            <w:tcW w:w="284" w:type="dxa"/>
            <w:tcBorders>
              <w:top w:val="nil"/>
              <w:left w:val="nil"/>
              <w:bottom w:val="nil"/>
              <w:right w:val="nil"/>
            </w:tcBorders>
            <w:shd w:val="clear" w:color="000000" w:fill="FFFFFF"/>
            <w:noWrap/>
            <w:vAlign w:val="center"/>
            <w:hideMark/>
          </w:tcPr>
          <w:p w14:paraId="1731F11C"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noWrap/>
            <w:vAlign w:val="center"/>
            <w:hideMark/>
          </w:tcPr>
          <w:p w14:paraId="71FB772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£'000</w:t>
            </w:r>
          </w:p>
        </w:tc>
        <w:tc>
          <w:tcPr>
            <w:tcW w:w="280" w:type="dxa"/>
            <w:tcBorders>
              <w:top w:val="nil"/>
              <w:left w:val="nil"/>
              <w:bottom w:val="nil"/>
              <w:right w:val="nil"/>
            </w:tcBorders>
            <w:shd w:val="clear" w:color="000000" w:fill="FFFFFF"/>
            <w:noWrap/>
            <w:vAlign w:val="center"/>
            <w:hideMark/>
          </w:tcPr>
          <w:p w14:paraId="57169437"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noWrap/>
            <w:vAlign w:val="center"/>
            <w:hideMark/>
          </w:tcPr>
          <w:p w14:paraId="1840F0CD"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£'000</w:t>
            </w:r>
          </w:p>
        </w:tc>
      </w:tr>
      <w:tr w:rsidR="00361FA6" w:rsidRPr="00361FA6" w14:paraId="523BFF67" w14:textId="77777777" w:rsidTr="00B71EAB">
        <w:trPr>
          <w:trHeight w:val="240"/>
        </w:trPr>
        <w:tc>
          <w:tcPr>
            <w:tcW w:w="4140" w:type="dxa"/>
            <w:tcBorders>
              <w:top w:val="nil"/>
              <w:left w:val="nil"/>
              <w:bottom w:val="nil"/>
              <w:right w:val="nil"/>
            </w:tcBorders>
            <w:shd w:val="clear" w:color="000000" w:fill="FFFFFF"/>
            <w:noWrap/>
            <w:vAlign w:val="center"/>
            <w:hideMark/>
          </w:tcPr>
          <w:p w14:paraId="7BBD0024"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Continuing operations</w:t>
            </w:r>
          </w:p>
        </w:tc>
        <w:tc>
          <w:tcPr>
            <w:tcW w:w="720" w:type="dxa"/>
            <w:tcBorders>
              <w:top w:val="nil"/>
              <w:left w:val="nil"/>
              <w:bottom w:val="nil"/>
              <w:right w:val="nil"/>
            </w:tcBorders>
            <w:shd w:val="clear" w:color="000000" w:fill="FFFFFF"/>
            <w:noWrap/>
            <w:vAlign w:val="center"/>
            <w:hideMark/>
          </w:tcPr>
          <w:p w14:paraId="1CBB4F7B"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58E4D276"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5D6ADC38"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noWrap/>
            <w:vAlign w:val="center"/>
            <w:hideMark/>
          </w:tcPr>
          <w:p w14:paraId="678F4B00"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280" w:type="dxa"/>
            <w:tcBorders>
              <w:top w:val="nil"/>
              <w:left w:val="nil"/>
              <w:bottom w:val="nil"/>
              <w:right w:val="nil"/>
            </w:tcBorders>
            <w:shd w:val="clear" w:color="000000" w:fill="FFFFFF"/>
            <w:noWrap/>
            <w:vAlign w:val="center"/>
            <w:hideMark/>
          </w:tcPr>
          <w:p w14:paraId="7F3D2619"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noWrap/>
            <w:vAlign w:val="center"/>
            <w:hideMark/>
          </w:tcPr>
          <w:p w14:paraId="67EB8AE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2ECBFFE8" w14:textId="77777777" w:rsidTr="00B71EAB">
        <w:trPr>
          <w:trHeight w:val="240"/>
        </w:trPr>
        <w:tc>
          <w:tcPr>
            <w:tcW w:w="4140" w:type="dxa"/>
            <w:tcBorders>
              <w:top w:val="nil"/>
              <w:left w:val="nil"/>
              <w:bottom w:val="nil"/>
              <w:right w:val="nil"/>
            </w:tcBorders>
            <w:shd w:val="clear" w:color="000000" w:fill="FFFFFF"/>
            <w:noWrap/>
            <w:vAlign w:val="center"/>
            <w:hideMark/>
          </w:tcPr>
          <w:p w14:paraId="62C2038F"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Revenue</w:t>
            </w:r>
          </w:p>
        </w:tc>
        <w:tc>
          <w:tcPr>
            <w:tcW w:w="720" w:type="dxa"/>
            <w:tcBorders>
              <w:top w:val="nil"/>
              <w:left w:val="nil"/>
              <w:bottom w:val="nil"/>
              <w:right w:val="nil"/>
            </w:tcBorders>
            <w:shd w:val="clear" w:color="000000" w:fill="FFFFFF"/>
            <w:noWrap/>
            <w:vAlign w:val="center"/>
            <w:hideMark/>
          </w:tcPr>
          <w:p w14:paraId="480F696E"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2</w:t>
            </w:r>
          </w:p>
        </w:tc>
        <w:tc>
          <w:tcPr>
            <w:tcW w:w="1377" w:type="dxa"/>
            <w:tcBorders>
              <w:top w:val="nil"/>
              <w:left w:val="nil"/>
              <w:bottom w:val="nil"/>
              <w:right w:val="nil"/>
            </w:tcBorders>
            <w:shd w:val="clear" w:color="000000" w:fill="FFFFFF"/>
            <w:noWrap/>
            <w:vAlign w:val="center"/>
            <w:hideMark/>
          </w:tcPr>
          <w:p w14:paraId="124C6AB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5,247 </w:t>
            </w:r>
          </w:p>
        </w:tc>
        <w:tc>
          <w:tcPr>
            <w:tcW w:w="284" w:type="dxa"/>
            <w:tcBorders>
              <w:top w:val="nil"/>
              <w:left w:val="nil"/>
              <w:bottom w:val="nil"/>
              <w:right w:val="nil"/>
            </w:tcBorders>
            <w:shd w:val="clear" w:color="000000" w:fill="FFFFFF"/>
            <w:noWrap/>
            <w:vAlign w:val="center"/>
            <w:hideMark/>
          </w:tcPr>
          <w:p w14:paraId="18A5D7F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2D5A625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5,153 </w:t>
            </w:r>
          </w:p>
        </w:tc>
        <w:tc>
          <w:tcPr>
            <w:tcW w:w="280" w:type="dxa"/>
            <w:tcBorders>
              <w:top w:val="nil"/>
              <w:left w:val="nil"/>
              <w:bottom w:val="nil"/>
              <w:right w:val="nil"/>
            </w:tcBorders>
            <w:shd w:val="clear" w:color="000000" w:fill="FFFFFF"/>
            <w:vAlign w:val="center"/>
            <w:hideMark/>
          </w:tcPr>
          <w:p w14:paraId="7F7B6E0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3D382AB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10,365 </w:t>
            </w:r>
          </w:p>
        </w:tc>
      </w:tr>
      <w:tr w:rsidR="00361FA6" w:rsidRPr="00361FA6" w14:paraId="294B08FC" w14:textId="77777777" w:rsidTr="00B71EAB">
        <w:trPr>
          <w:trHeight w:val="240"/>
        </w:trPr>
        <w:tc>
          <w:tcPr>
            <w:tcW w:w="4140" w:type="dxa"/>
            <w:tcBorders>
              <w:top w:val="nil"/>
              <w:left w:val="nil"/>
              <w:bottom w:val="nil"/>
              <w:right w:val="nil"/>
            </w:tcBorders>
            <w:shd w:val="clear" w:color="000000" w:fill="FFFFFF"/>
            <w:noWrap/>
            <w:vAlign w:val="center"/>
            <w:hideMark/>
          </w:tcPr>
          <w:p w14:paraId="6325350E"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Cost of sales</w:t>
            </w:r>
          </w:p>
        </w:tc>
        <w:tc>
          <w:tcPr>
            <w:tcW w:w="720" w:type="dxa"/>
            <w:tcBorders>
              <w:top w:val="nil"/>
              <w:left w:val="nil"/>
              <w:bottom w:val="nil"/>
              <w:right w:val="nil"/>
            </w:tcBorders>
            <w:shd w:val="clear" w:color="000000" w:fill="FFFFFF"/>
            <w:noWrap/>
            <w:vAlign w:val="center"/>
            <w:hideMark/>
          </w:tcPr>
          <w:p w14:paraId="257148C2"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0600F8D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(1,923)</w:t>
            </w:r>
          </w:p>
        </w:tc>
        <w:tc>
          <w:tcPr>
            <w:tcW w:w="284" w:type="dxa"/>
            <w:tcBorders>
              <w:top w:val="nil"/>
              <w:left w:val="nil"/>
              <w:bottom w:val="nil"/>
              <w:right w:val="nil"/>
            </w:tcBorders>
            <w:shd w:val="clear" w:color="000000" w:fill="FFFFFF"/>
            <w:noWrap/>
            <w:vAlign w:val="center"/>
            <w:hideMark/>
          </w:tcPr>
          <w:p w14:paraId="6E56488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single" w:sz="4" w:space="0" w:color="auto"/>
              <w:right w:val="nil"/>
            </w:tcBorders>
            <w:shd w:val="clear" w:color="000000" w:fill="FFFFFF"/>
            <w:vAlign w:val="center"/>
            <w:hideMark/>
          </w:tcPr>
          <w:p w14:paraId="7F2A7F9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(1,836)</w:t>
            </w:r>
          </w:p>
        </w:tc>
        <w:tc>
          <w:tcPr>
            <w:tcW w:w="280" w:type="dxa"/>
            <w:tcBorders>
              <w:top w:val="nil"/>
              <w:left w:val="nil"/>
              <w:bottom w:val="nil"/>
              <w:right w:val="nil"/>
            </w:tcBorders>
            <w:shd w:val="clear" w:color="000000" w:fill="FFFFFF"/>
            <w:vAlign w:val="center"/>
            <w:hideMark/>
          </w:tcPr>
          <w:p w14:paraId="1C6DEEE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single" w:sz="4" w:space="0" w:color="auto"/>
              <w:right w:val="nil"/>
            </w:tcBorders>
            <w:shd w:val="clear" w:color="000000" w:fill="FFFFFF"/>
            <w:vAlign w:val="center"/>
            <w:hideMark/>
          </w:tcPr>
          <w:p w14:paraId="40737B3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(3,308)</w:t>
            </w:r>
          </w:p>
        </w:tc>
      </w:tr>
      <w:tr w:rsidR="00361FA6" w:rsidRPr="00361FA6" w14:paraId="13419DFB" w14:textId="77777777" w:rsidTr="00B71EAB">
        <w:trPr>
          <w:trHeight w:val="240"/>
        </w:trPr>
        <w:tc>
          <w:tcPr>
            <w:tcW w:w="4140" w:type="dxa"/>
            <w:tcBorders>
              <w:top w:val="nil"/>
              <w:left w:val="nil"/>
              <w:bottom w:val="nil"/>
              <w:right w:val="nil"/>
            </w:tcBorders>
            <w:shd w:val="clear" w:color="000000" w:fill="FFFFFF"/>
            <w:noWrap/>
            <w:vAlign w:val="center"/>
            <w:hideMark/>
          </w:tcPr>
          <w:p w14:paraId="3EA465C4"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Gross profit</w:t>
            </w:r>
          </w:p>
        </w:tc>
        <w:tc>
          <w:tcPr>
            <w:tcW w:w="720" w:type="dxa"/>
            <w:tcBorders>
              <w:top w:val="nil"/>
              <w:left w:val="nil"/>
              <w:bottom w:val="nil"/>
              <w:right w:val="nil"/>
            </w:tcBorders>
            <w:shd w:val="clear" w:color="000000" w:fill="FFFFFF"/>
            <w:noWrap/>
            <w:vAlign w:val="center"/>
            <w:hideMark/>
          </w:tcPr>
          <w:p w14:paraId="43E0EF36"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single" w:sz="4" w:space="0" w:color="auto"/>
              <w:left w:val="nil"/>
              <w:bottom w:val="nil"/>
              <w:right w:val="nil"/>
            </w:tcBorders>
            <w:shd w:val="clear" w:color="000000" w:fill="FFFFFF"/>
            <w:noWrap/>
            <w:vAlign w:val="center"/>
            <w:hideMark/>
          </w:tcPr>
          <w:p w14:paraId="2745D0B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3,324 </w:t>
            </w:r>
          </w:p>
        </w:tc>
        <w:tc>
          <w:tcPr>
            <w:tcW w:w="284" w:type="dxa"/>
            <w:tcBorders>
              <w:top w:val="nil"/>
              <w:left w:val="nil"/>
              <w:bottom w:val="nil"/>
              <w:right w:val="nil"/>
            </w:tcBorders>
            <w:shd w:val="clear" w:color="000000" w:fill="FFFFFF"/>
            <w:noWrap/>
            <w:vAlign w:val="center"/>
            <w:hideMark/>
          </w:tcPr>
          <w:p w14:paraId="3C65F8F8"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2F0D03C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3,317 </w:t>
            </w:r>
          </w:p>
        </w:tc>
        <w:tc>
          <w:tcPr>
            <w:tcW w:w="280" w:type="dxa"/>
            <w:tcBorders>
              <w:top w:val="nil"/>
              <w:left w:val="nil"/>
              <w:bottom w:val="nil"/>
              <w:right w:val="nil"/>
            </w:tcBorders>
            <w:shd w:val="clear" w:color="000000" w:fill="FFFFFF"/>
            <w:vAlign w:val="center"/>
            <w:hideMark/>
          </w:tcPr>
          <w:p w14:paraId="2157DB2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427EBDB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7,056 </w:t>
            </w:r>
          </w:p>
        </w:tc>
      </w:tr>
      <w:tr w:rsidR="00361FA6" w:rsidRPr="00361FA6" w14:paraId="4B30E1BC" w14:textId="77777777" w:rsidTr="00B71EAB">
        <w:trPr>
          <w:trHeight w:val="240"/>
        </w:trPr>
        <w:tc>
          <w:tcPr>
            <w:tcW w:w="4140" w:type="dxa"/>
            <w:tcBorders>
              <w:top w:val="nil"/>
              <w:left w:val="nil"/>
              <w:bottom w:val="nil"/>
              <w:right w:val="nil"/>
            </w:tcBorders>
            <w:shd w:val="clear" w:color="000000" w:fill="FFFFFF"/>
            <w:noWrap/>
            <w:vAlign w:val="center"/>
            <w:hideMark/>
          </w:tcPr>
          <w:p w14:paraId="57566100"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noWrap/>
            <w:vAlign w:val="center"/>
            <w:hideMark/>
          </w:tcPr>
          <w:p w14:paraId="27D42D65"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11DE40DA"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166AB7C6"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1718F2D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3328AF4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3AD9A8E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2F18A9D0" w14:textId="77777777" w:rsidTr="00B71EAB">
        <w:trPr>
          <w:trHeight w:val="240"/>
        </w:trPr>
        <w:tc>
          <w:tcPr>
            <w:tcW w:w="4140" w:type="dxa"/>
            <w:tcBorders>
              <w:top w:val="nil"/>
              <w:left w:val="nil"/>
              <w:bottom w:val="nil"/>
              <w:right w:val="nil"/>
            </w:tcBorders>
            <w:shd w:val="clear" w:color="000000" w:fill="FFFFFF"/>
            <w:noWrap/>
            <w:vAlign w:val="center"/>
            <w:hideMark/>
          </w:tcPr>
          <w:p w14:paraId="2D50B7E6"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Other income</w:t>
            </w:r>
          </w:p>
        </w:tc>
        <w:tc>
          <w:tcPr>
            <w:tcW w:w="720" w:type="dxa"/>
            <w:tcBorders>
              <w:top w:val="nil"/>
              <w:left w:val="nil"/>
              <w:bottom w:val="nil"/>
              <w:right w:val="nil"/>
            </w:tcBorders>
            <w:shd w:val="clear" w:color="000000" w:fill="FFFFFF"/>
            <w:noWrap/>
            <w:vAlign w:val="center"/>
            <w:hideMark/>
          </w:tcPr>
          <w:p w14:paraId="0CABBACA"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3</w:t>
            </w:r>
          </w:p>
        </w:tc>
        <w:tc>
          <w:tcPr>
            <w:tcW w:w="1377" w:type="dxa"/>
            <w:tcBorders>
              <w:top w:val="nil"/>
              <w:left w:val="nil"/>
              <w:bottom w:val="nil"/>
              <w:right w:val="nil"/>
            </w:tcBorders>
            <w:shd w:val="clear" w:color="000000" w:fill="FFFFFF"/>
            <w:noWrap/>
            <w:vAlign w:val="center"/>
            <w:hideMark/>
          </w:tcPr>
          <w:p w14:paraId="33298EC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250 </w:t>
            </w:r>
          </w:p>
        </w:tc>
        <w:tc>
          <w:tcPr>
            <w:tcW w:w="284" w:type="dxa"/>
            <w:tcBorders>
              <w:top w:val="nil"/>
              <w:left w:val="nil"/>
              <w:bottom w:val="nil"/>
              <w:right w:val="nil"/>
            </w:tcBorders>
            <w:shd w:val="clear" w:color="000000" w:fill="FFFFFF"/>
            <w:noWrap/>
            <w:vAlign w:val="center"/>
            <w:hideMark/>
          </w:tcPr>
          <w:p w14:paraId="5C5664DE"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796881E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455 </w:t>
            </w:r>
          </w:p>
        </w:tc>
        <w:tc>
          <w:tcPr>
            <w:tcW w:w="280" w:type="dxa"/>
            <w:tcBorders>
              <w:top w:val="nil"/>
              <w:left w:val="nil"/>
              <w:bottom w:val="nil"/>
              <w:right w:val="nil"/>
            </w:tcBorders>
            <w:shd w:val="clear" w:color="000000" w:fill="FFFFFF"/>
            <w:vAlign w:val="center"/>
            <w:hideMark/>
          </w:tcPr>
          <w:p w14:paraId="394D1C7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5E48EF7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1,040 </w:t>
            </w:r>
          </w:p>
        </w:tc>
      </w:tr>
      <w:tr w:rsidR="00361FA6" w:rsidRPr="00361FA6" w14:paraId="681FC5D9" w14:textId="77777777" w:rsidTr="00B71EAB">
        <w:trPr>
          <w:trHeight w:val="240"/>
        </w:trPr>
        <w:tc>
          <w:tcPr>
            <w:tcW w:w="4140" w:type="dxa"/>
            <w:tcBorders>
              <w:top w:val="nil"/>
              <w:left w:val="nil"/>
              <w:bottom w:val="nil"/>
              <w:right w:val="nil"/>
            </w:tcBorders>
            <w:shd w:val="clear" w:color="000000" w:fill="FFFFFF"/>
            <w:noWrap/>
            <w:vAlign w:val="center"/>
            <w:hideMark/>
          </w:tcPr>
          <w:p w14:paraId="60375FC3"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Administrative expenses</w:t>
            </w:r>
          </w:p>
        </w:tc>
        <w:tc>
          <w:tcPr>
            <w:tcW w:w="720" w:type="dxa"/>
            <w:tcBorders>
              <w:top w:val="nil"/>
              <w:left w:val="nil"/>
              <w:bottom w:val="nil"/>
              <w:right w:val="nil"/>
            </w:tcBorders>
            <w:shd w:val="clear" w:color="000000" w:fill="FFFFFF"/>
            <w:noWrap/>
            <w:vAlign w:val="center"/>
            <w:hideMark/>
          </w:tcPr>
          <w:p w14:paraId="47619574"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05AF6646"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(6,949)</w:t>
            </w:r>
          </w:p>
        </w:tc>
        <w:tc>
          <w:tcPr>
            <w:tcW w:w="284" w:type="dxa"/>
            <w:tcBorders>
              <w:top w:val="nil"/>
              <w:left w:val="nil"/>
              <w:bottom w:val="nil"/>
              <w:right w:val="nil"/>
            </w:tcBorders>
            <w:shd w:val="clear" w:color="000000" w:fill="FFFFFF"/>
            <w:noWrap/>
            <w:vAlign w:val="center"/>
            <w:hideMark/>
          </w:tcPr>
          <w:p w14:paraId="34F34AD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748A276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(5,613)</w:t>
            </w:r>
          </w:p>
        </w:tc>
        <w:tc>
          <w:tcPr>
            <w:tcW w:w="280" w:type="dxa"/>
            <w:tcBorders>
              <w:top w:val="nil"/>
              <w:left w:val="nil"/>
              <w:bottom w:val="nil"/>
              <w:right w:val="nil"/>
            </w:tcBorders>
            <w:shd w:val="clear" w:color="000000" w:fill="FFFFFF"/>
            <w:vAlign w:val="center"/>
            <w:hideMark/>
          </w:tcPr>
          <w:p w14:paraId="7315FDA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2DB0865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(11,251)</w:t>
            </w:r>
          </w:p>
        </w:tc>
      </w:tr>
      <w:tr w:rsidR="00361FA6" w:rsidRPr="00361FA6" w14:paraId="617AF589" w14:textId="77777777" w:rsidTr="00B71EAB">
        <w:trPr>
          <w:trHeight w:val="240"/>
        </w:trPr>
        <w:tc>
          <w:tcPr>
            <w:tcW w:w="4140" w:type="dxa"/>
            <w:tcBorders>
              <w:top w:val="nil"/>
              <w:left w:val="nil"/>
              <w:bottom w:val="nil"/>
              <w:right w:val="nil"/>
            </w:tcBorders>
            <w:shd w:val="clear" w:color="000000" w:fill="FFFFFF"/>
            <w:noWrap/>
            <w:vAlign w:val="center"/>
            <w:hideMark/>
          </w:tcPr>
          <w:p w14:paraId="25F5FFC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noWrap/>
            <w:vAlign w:val="center"/>
            <w:hideMark/>
          </w:tcPr>
          <w:p w14:paraId="69626F59"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0056A56B"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1714A58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0E200E7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7ED7667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2883C07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510CD2AA" w14:textId="77777777" w:rsidTr="00B71EAB">
        <w:trPr>
          <w:trHeight w:val="240"/>
        </w:trPr>
        <w:tc>
          <w:tcPr>
            <w:tcW w:w="4140" w:type="dxa"/>
            <w:tcBorders>
              <w:top w:val="single" w:sz="4" w:space="0" w:color="auto"/>
              <w:left w:val="single" w:sz="4" w:space="0" w:color="auto"/>
              <w:bottom w:val="nil"/>
              <w:right w:val="nil"/>
            </w:tcBorders>
            <w:shd w:val="clear" w:color="000000" w:fill="FFFFFF"/>
            <w:noWrap/>
            <w:vAlign w:val="center"/>
            <w:hideMark/>
          </w:tcPr>
          <w:p w14:paraId="452A68FA"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Adjusted operating loss</w:t>
            </w:r>
          </w:p>
        </w:tc>
        <w:tc>
          <w:tcPr>
            <w:tcW w:w="720" w:type="dxa"/>
            <w:tcBorders>
              <w:top w:val="single" w:sz="4" w:space="0" w:color="auto"/>
              <w:left w:val="nil"/>
              <w:bottom w:val="nil"/>
              <w:right w:val="nil"/>
            </w:tcBorders>
            <w:shd w:val="clear" w:color="000000" w:fill="FFFFFF"/>
            <w:noWrap/>
            <w:vAlign w:val="center"/>
            <w:hideMark/>
          </w:tcPr>
          <w:p w14:paraId="070A215B"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single" w:sz="4" w:space="0" w:color="auto"/>
              <w:left w:val="nil"/>
              <w:bottom w:val="nil"/>
              <w:right w:val="nil"/>
            </w:tcBorders>
            <w:shd w:val="clear" w:color="000000" w:fill="FFFFFF"/>
            <w:noWrap/>
            <w:vAlign w:val="center"/>
            <w:hideMark/>
          </w:tcPr>
          <w:p w14:paraId="2AAE4E11" w14:textId="77777777" w:rsidR="00361FA6" w:rsidRPr="00361FA6" w:rsidRDefault="00361FA6" w:rsidP="004C0C8A">
            <w:pPr>
              <w:spacing w:after="0"/>
              <w:jc w:val="right"/>
              <w:rPr>
                <w:rFonts w:ascii="Calibri" w:hAnsi="Calibri" w:cs="Arial"/>
                <w:b/>
                <w:bCs/>
                <w:szCs w:val="18"/>
                <w:lang w:eastAsia="en-GB"/>
              </w:rPr>
            </w:pPr>
            <w:r w:rsidRPr="00361FA6">
              <w:rPr>
                <w:rFonts w:ascii="Calibri" w:hAnsi="Calibri" w:cs="Arial"/>
                <w:b/>
                <w:bCs/>
                <w:szCs w:val="18"/>
                <w:lang w:eastAsia="en-GB"/>
              </w:rPr>
              <w:t>(</w:t>
            </w:r>
            <w:r w:rsidR="004C0C8A">
              <w:rPr>
                <w:rFonts w:ascii="Calibri" w:hAnsi="Calibri" w:cs="Arial"/>
                <w:b/>
                <w:bCs/>
                <w:szCs w:val="18"/>
                <w:lang w:eastAsia="en-GB"/>
              </w:rPr>
              <w:t>3</w:t>
            </w:r>
            <w:r w:rsidRPr="00361FA6">
              <w:rPr>
                <w:rFonts w:ascii="Calibri" w:hAnsi="Calibri" w:cs="Arial"/>
                <w:b/>
                <w:bCs/>
                <w:szCs w:val="18"/>
                <w:lang w:eastAsia="en-GB"/>
              </w:rPr>
              <w:t>,</w:t>
            </w:r>
            <w:r w:rsidR="004C0C8A">
              <w:rPr>
                <w:rFonts w:ascii="Calibri" w:hAnsi="Calibri" w:cs="Arial"/>
                <w:b/>
                <w:bCs/>
                <w:szCs w:val="18"/>
                <w:lang w:eastAsia="en-GB"/>
              </w:rPr>
              <w:t>274</w:t>
            </w:r>
            <w:r w:rsidRPr="00361FA6">
              <w:rPr>
                <w:rFonts w:ascii="Calibri" w:hAnsi="Calibri" w:cs="Arial"/>
                <w:b/>
                <w:bCs/>
                <w:szCs w:val="18"/>
                <w:lang w:eastAsia="en-GB"/>
              </w:rPr>
              <w:t>)</w:t>
            </w:r>
          </w:p>
        </w:tc>
        <w:tc>
          <w:tcPr>
            <w:tcW w:w="284" w:type="dxa"/>
            <w:tcBorders>
              <w:top w:val="single" w:sz="4" w:space="0" w:color="auto"/>
              <w:left w:val="nil"/>
              <w:bottom w:val="nil"/>
              <w:right w:val="nil"/>
            </w:tcBorders>
            <w:shd w:val="clear" w:color="000000" w:fill="FFFFFF"/>
            <w:noWrap/>
            <w:vAlign w:val="center"/>
            <w:hideMark/>
          </w:tcPr>
          <w:p w14:paraId="7BF5A9E1"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single" w:sz="4" w:space="0" w:color="auto"/>
              <w:left w:val="nil"/>
              <w:bottom w:val="nil"/>
              <w:right w:val="nil"/>
            </w:tcBorders>
            <w:shd w:val="clear" w:color="000000" w:fill="FFFFFF"/>
            <w:vAlign w:val="center"/>
            <w:hideMark/>
          </w:tcPr>
          <w:p w14:paraId="1A83166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(1,681)</w:t>
            </w:r>
          </w:p>
        </w:tc>
        <w:tc>
          <w:tcPr>
            <w:tcW w:w="280" w:type="dxa"/>
            <w:tcBorders>
              <w:top w:val="single" w:sz="4" w:space="0" w:color="auto"/>
              <w:left w:val="nil"/>
              <w:bottom w:val="nil"/>
              <w:right w:val="nil"/>
            </w:tcBorders>
            <w:shd w:val="clear" w:color="000000" w:fill="FFFFFF"/>
            <w:vAlign w:val="center"/>
            <w:hideMark/>
          </w:tcPr>
          <w:p w14:paraId="3200067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single" w:sz="4" w:space="0" w:color="auto"/>
              <w:left w:val="nil"/>
              <w:bottom w:val="nil"/>
              <w:right w:val="single" w:sz="4" w:space="0" w:color="auto"/>
            </w:tcBorders>
            <w:shd w:val="clear" w:color="000000" w:fill="FFFFFF"/>
            <w:vAlign w:val="center"/>
            <w:hideMark/>
          </w:tcPr>
          <w:p w14:paraId="4605369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(2,890)</w:t>
            </w:r>
          </w:p>
        </w:tc>
      </w:tr>
      <w:tr w:rsidR="00361FA6" w:rsidRPr="00361FA6" w14:paraId="43118CDB" w14:textId="77777777" w:rsidTr="00B71EAB">
        <w:trPr>
          <w:trHeight w:val="240"/>
        </w:trPr>
        <w:tc>
          <w:tcPr>
            <w:tcW w:w="4140" w:type="dxa"/>
            <w:tcBorders>
              <w:top w:val="nil"/>
              <w:left w:val="single" w:sz="4" w:space="0" w:color="auto"/>
              <w:bottom w:val="nil"/>
              <w:right w:val="nil"/>
            </w:tcBorders>
            <w:shd w:val="clear" w:color="000000" w:fill="FFFFFF"/>
            <w:noWrap/>
            <w:vAlign w:val="center"/>
            <w:hideMark/>
          </w:tcPr>
          <w:p w14:paraId="73FAB559"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Share based payments</w:t>
            </w:r>
          </w:p>
        </w:tc>
        <w:tc>
          <w:tcPr>
            <w:tcW w:w="720" w:type="dxa"/>
            <w:tcBorders>
              <w:top w:val="nil"/>
              <w:left w:val="nil"/>
              <w:bottom w:val="nil"/>
              <w:right w:val="nil"/>
            </w:tcBorders>
            <w:shd w:val="clear" w:color="000000" w:fill="FFFFFF"/>
            <w:noWrap/>
            <w:vAlign w:val="center"/>
            <w:hideMark/>
          </w:tcPr>
          <w:p w14:paraId="740BFF41"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0B4C5E6C"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16 </w:t>
            </w:r>
          </w:p>
        </w:tc>
        <w:tc>
          <w:tcPr>
            <w:tcW w:w="284" w:type="dxa"/>
            <w:tcBorders>
              <w:top w:val="nil"/>
              <w:left w:val="nil"/>
              <w:bottom w:val="nil"/>
              <w:right w:val="nil"/>
            </w:tcBorders>
            <w:shd w:val="clear" w:color="000000" w:fill="FFFFFF"/>
            <w:noWrap/>
            <w:vAlign w:val="center"/>
            <w:hideMark/>
          </w:tcPr>
          <w:p w14:paraId="0BCF07D1"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206B815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(73)</w:t>
            </w:r>
          </w:p>
        </w:tc>
        <w:tc>
          <w:tcPr>
            <w:tcW w:w="280" w:type="dxa"/>
            <w:tcBorders>
              <w:top w:val="nil"/>
              <w:left w:val="nil"/>
              <w:bottom w:val="nil"/>
              <w:right w:val="nil"/>
            </w:tcBorders>
            <w:shd w:val="clear" w:color="000000" w:fill="FFFFFF"/>
            <w:vAlign w:val="center"/>
            <w:hideMark/>
          </w:tcPr>
          <w:p w14:paraId="574DCB1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single" w:sz="4" w:space="0" w:color="auto"/>
            </w:tcBorders>
            <w:shd w:val="clear" w:color="000000" w:fill="FFFFFF"/>
            <w:vAlign w:val="center"/>
            <w:hideMark/>
          </w:tcPr>
          <w:p w14:paraId="5E74D4B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(137)</w:t>
            </w:r>
          </w:p>
        </w:tc>
      </w:tr>
      <w:tr w:rsidR="00361FA6" w:rsidRPr="00361FA6" w14:paraId="55EBA23F" w14:textId="77777777" w:rsidTr="00B71EAB">
        <w:trPr>
          <w:trHeight w:val="240"/>
        </w:trPr>
        <w:tc>
          <w:tcPr>
            <w:tcW w:w="4140" w:type="dxa"/>
            <w:tcBorders>
              <w:top w:val="nil"/>
              <w:left w:val="single" w:sz="4" w:space="0" w:color="auto"/>
              <w:bottom w:val="single" w:sz="4" w:space="0" w:color="auto"/>
              <w:right w:val="nil"/>
            </w:tcBorders>
            <w:shd w:val="clear" w:color="000000" w:fill="FFFFFF"/>
            <w:noWrap/>
            <w:vAlign w:val="center"/>
            <w:hideMark/>
          </w:tcPr>
          <w:p w14:paraId="13558A9F"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Exceptional items</w:t>
            </w:r>
          </w:p>
        </w:tc>
        <w:tc>
          <w:tcPr>
            <w:tcW w:w="720" w:type="dxa"/>
            <w:tcBorders>
              <w:top w:val="nil"/>
              <w:left w:val="nil"/>
              <w:bottom w:val="single" w:sz="4" w:space="0" w:color="auto"/>
              <w:right w:val="nil"/>
            </w:tcBorders>
            <w:shd w:val="clear" w:color="000000" w:fill="FFFFFF"/>
            <w:noWrap/>
            <w:vAlign w:val="center"/>
            <w:hideMark/>
          </w:tcPr>
          <w:p w14:paraId="53B3C02A"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5</w:t>
            </w:r>
          </w:p>
        </w:tc>
        <w:tc>
          <w:tcPr>
            <w:tcW w:w="1377" w:type="dxa"/>
            <w:tcBorders>
              <w:top w:val="nil"/>
              <w:left w:val="nil"/>
              <w:bottom w:val="single" w:sz="4" w:space="0" w:color="auto"/>
              <w:right w:val="nil"/>
            </w:tcBorders>
            <w:shd w:val="clear" w:color="000000" w:fill="FFFFFF"/>
            <w:noWrap/>
            <w:vAlign w:val="center"/>
            <w:hideMark/>
          </w:tcPr>
          <w:p w14:paraId="31DFF34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w:t>
            </w:r>
            <w:r w:rsidR="004C0C8A">
              <w:rPr>
                <w:rFonts w:ascii="Calibri" w:hAnsi="Calibri" w:cs="Arial"/>
                <w:b/>
                <w:bCs/>
                <w:szCs w:val="18"/>
                <w:lang w:eastAsia="en-GB"/>
              </w:rPr>
              <w:t>116</w:t>
            </w:r>
            <w:r w:rsidRPr="00361FA6">
              <w:rPr>
                <w:rFonts w:ascii="Calibri" w:hAnsi="Calibri" w:cs="Arial"/>
                <w:b/>
                <w:bCs/>
                <w:szCs w:val="18"/>
                <w:lang w:eastAsia="en-GB"/>
              </w:rPr>
              <w:t>)</w:t>
            </w:r>
          </w:p>
        </w:tc>
        <w:tc>
          <w:tcPr>
            <w:tcW w:w="284" w:type="dxa"/>
            <w:tcBorders>
              <w:top w:val="nil"/>
              <w:left w:val="nil"/>
              <w:bottom w:val="single" w:sz="4" w:space="0" w:color="auto"/>
              <w:right w:val="nil"/>
            </w:tcBorders>
            <w:shd w:val="clear" w:color="000000" w:fill="FFFFFF"/>
            <w:noWrap/>
            <w:vAlign w:val="center"/>
            <w:hideMark/>
          </w:tcPr>
          <w:p w14:paraId="7784094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single" w:sz="4" w:space="0" w:color="auto"/>
              <w:right w:val="nil"/>
            </w:tcBorders>
            <w:shd w:val="clear" w:color="000000" w:fill="FFFFFF"/>
            <w:vAlign w:val="center"/>
            <w:hideMark/>
          </w:tcPr>
          <w:p w14:paraId="1F660FD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(86)</w:t>
            </w:r>
          </w:p>
        </w:tc>
        <w:tc>
          <w:tcPr>
            <w:tcW w:w="280" w:type="dxa"/>
            <w:tcBorders>
              <w:top w:val="nil"/>
              <w:left w:val="nil"/>
              <w:bottom w:val="single" w:sz="4" w:space="0" w:color="auto"/>
              <w:right w:val="nil"/>
            </w:tcBorders>
            <w:shd w:val="clear" w:color="000000" w:fill="FFFFFF"/>
            <w:vAlign w:val="center"/>
            <w:hideMark/>
          </w:tcPr>
          <w:p w14:paraId="297A739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single" w:sz="4" w:space="0" w:color="auto"/>
              <w:right w:val="single" w:sz="4" w:space="0" w:color="auto"/>
            </w:tcBorders>
            <w:shd w:val="clear" w:color="000000" w:fill="FFFFFF"/>
            <w:vAlign w:val="center"/>
            <w:hideMark/>
          </w:tcPr>
          <w:p w14:paraId="59B0279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(128)</w:t>
            </w:r>
          </w:p>
        </w:tc>
      </w:tr>
      <w:tr w:rsidR="00361FA6" w:rsidRPr="00361FA6" w14:paraId="16892EE0" w14:textId="77777777" w:rsidTr="00B71EAB">
        <w:trPr>
          <w:trHeight w:val="240"/>
        </w:trPr>
        <w:tc>
          <w:tcPr>
            <w:tcW w:w="4140" w:type="dxa"/>
            <w:tcBorders>
              <w:top w:val="nil"/>
              <w:left w:val="nil"/>
              <w:bottom w:val="nil"/>
              <w:right w:val="nil"/>
            </w:tcBorders>
            <w:shd w:val="clear" w:color="000000" w:fill="FFFFFF"/>
            <w:noWrap/>
            <w:vAlign w:val="center"/>
            <w:hideMark/>
          </w:tcPr>
          <w:p w14:paraId="4BBC3549"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noWrap/>
            <w:vAlign w:val="center"/>
            <w:hideMark/>
          </w:tcPr>
          <w:p w14:paraId="0E5508AA"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6F3A1EB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23BA800C"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single" w:sz="4" w:space="0" w:color="auto"/>
              <w:right w:val="nil"/>
            </w:tcBorders>
            <w:shd w:val="clear" w:color="000000" w:fill="FFFFFF"/>
            <w:vAlign w:val="center"/>
            <w:hideMark/>
          </w:tcPr>
          <w:p w14:paraId="44CF0D2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56392F6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6ADC0A6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2D5FB39A" w14:textId="77777777" w:rsidTr="00B71EAB">
        <w:trPr>
          <w:trHeight w:val="240"/>
        </w:trPr>
        <w:tc>
          <w:tcPr>
            <w:tcW w:w="4140" w:type="dxa"/>
            <w:tcBorders>
              <w:top w:val="nil"/>
              <w:left w:val="nil"/>
              <w:bottom w:val="nil"/>
              <w:right w:val="nil"/>
            </w:tcBorders>
            <w:shd w:val="clear" w:color="000000" w:fill="FFFFFF"/>
            <w:noWrap/>
            <w:vAlign w:val="center"/>
            <w:hideMark/>
          </w:tcPr>
          <w:p w14:paraId="27D8063E"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Operating loss</w:t>
            </w:r>
          </w:p>
        </w:tc>
        <w:tc>
          <w:tcPr>
            <w:tcW w:w="720" w:type="dxa"/>
            <w:tcBorders>
              <w:top w:val="nil"/>
              <w:left w:val="nil"/>
              <w:bottom w:val="nil"/>
              <w:right w:val="nil"/>
            </w:tcBorders>
            <w:shd w:val="clear" w:color="000000" w:fill="FFFFFF"/>
            <w:noWrap/>
            <w:vAlign w:val="center"/>
            <w:hideMark/>
          </w:tcPr>
          <w:p w14:paraId="25743B36"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4</w:t>
            </w:r>
          </w:p>
        </w:tc>
        <w:tc>
          <w:tcPr>
            <w:tcW w:w="1377" w:type="dxa"/>
            <w:tcBorders>
              <w:top w:val="single" w:sz="4" w:space="0" w:color="auto"/>
              <w:left w:val="nil"/>
              <w:bottom w:val="nil"/>
              <w:right w:val="nil"/>
            </w:tcBorders>
            <w:shd w:val="clear" w:color="000000" w:fill="FFFFFF"/>
            <w:vAlign w:val="center"/>
            <w:hideMark/>
          </w:tcPr>
          <w:p w14:paraId="7710536A"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(3,375)</w:t>
            </w:r>
          </w:p>
        </w:tc>
        <w:tc>
          <w:tcPr>
            <w:tcW w:w="284" w:type="dxa"/>
            <w:tcBorders>
              <w:top w:val="nil"/>
              <w:left w:val="nil"/>
              <w:bottom w:val="nil"/>
              <w:right w:val="nil"/>
            </w:tcBorders>
            <w:shd w:val="clear" w:color="000000" w:fill="FFFFFF"/>
            <w:vAlign w:val="center"/>
            <w:hideMark/>
          </w:tcPr>
          <w:p w14:paraId="485D10AE"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3555B0C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(1,841)</w:t>
            </w:r>
          </w:p>
        </w:tc>
        <w:tc>
          <w:tcPr>
            <w:tcW w:w="280" w:type="dxa"/>
            <w:tcBorders>
              <w:top w:val="nil"/>
              <w:left w:val="nil"/>
              <w:bottom w:val="nil"/>
              <w:right w:val="nil"/>
            </w:tcBorders>
            <w:shd w:val="clear" w:color="000000" w:fill="FFFFFF"/>
            <w:vAlign w:val="center"/>
            <w:hideMark/>
          </w:tcPr>
          <w:p w14:paraId="336B029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single" w:sz="4" w:space="0" w:color="auto"/>
              <w:left w:val="nil"/>
              <w:bottom w:val="nil"/>
              <w:right w:val="nil"/>
            </w:tcBorders>
            <w:shd w:val="clear" w:color="000000" w:fill="FFFFFF"/>
            <w:vAlign w:val="center"/>
            <w:hideMark/>
          </w:tcPr>
          <w:p w14:paraId="2B4FBF0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(3,154)</w:t>
            </w:r>
          </w:p>
        </w:tc>
      </w:tr>
      <w:tr w:rsidR="00361FA6" w:rsidRPr="00361FA6" w14:paraId="592F40CF" w14:textId="77777777" w:rsidTr="00B71EAB">
        <w:trPr>
          <w:trHeight w:val="240"/>
        </w:trPr>
        <w:tc>
          <w:tcPr>
            <w:tcW w:w="4140" w:type="dxa"/>
            <w:tcBorders>
              <w:top w:val="nil"/>
              <w:left w:val="nil"/>
              <w:bottom w:val="nil"/>
              <w:right w:val="nil"/>
            </w:tcBorders>
            <w:shd w:val="clear" w:color="000000" w:fill="FFFFFF"/>
            <w:noWrap/>
            <w:vAlign w:val="center"/>
            <w:hideMark/>
          </w:tcPr>
          <w:p w14:paraId="4B79E8CC"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720" w:type="dxa"/>
            <w:tcBorders>
              <w:top w:val="nil"/>
              <w:left w:val="nil"/>
              <w:bottom w:val="nil"/>
              <w:right w:val="nil"/>
            </w:tcBorders>
            <w:shd w:val="clear" w:color="000000" w:fill="FFFFFF"/>
            <w:noWrap/>
            <w:vAlign w:val="center"/>
            <w:hideMark/>
          </w:tcPr>
          <w:p w14:paraId="1EE4A963"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4542F52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34C4EB16"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017B6AC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76BB5E0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0D14272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660B1D63" w14:textId="77777777" w:rsidTr="00B71EAB">
        <w:trPr>
          <w:trHeight w:val="240"/>
        </w:trPr>
        <w:tc>
          <w:tcPr>
            <w:tcW w:w="4140" w:type="dxa"/>
            <w:tcBorders>
              <w:top w:val="nil"/>
              <w:left w:val="nil"/>
              <w:bottom w:val="nil"/>
              <w:right w:val="nil"/>
            </w:tcBorders>
            <w:shd w:val="clear" w:color="000000" w:fill="FFFFFF"/>
            <w:noWrap/>
            <w:vAlign w:val="center"/>
            <w:hideMark/>
          </w:tcPr>
          <w:p w14:paraId="04D63B24"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Other gains and loss</w:t>
            </w:r>
          </w:p>
        </w:tc>
        <w:tc>
          <w:tcPr>
            <w:tcW w:w="720" w:type="dxa"/>
            <w:tcBorders>
              <w:top w:val="nil"/>
              <w:left w:val="nil"/>
              <w:bottom w:val="nil"/>
              <w:right w:val="nil"/>
            </w:tcBorders>
            <w:shd w:val="clear" w:color="000000" w:fill="FFFFFF"/>
            <w:noWrap/>
            <w:vAlign w:val="center"/>
            <w:hideMark/>
          </w:tcPr>
          <w:p w14:paraId="29A783CF" w14:textId="77777777" w:rsidR="00361FA6" w:rsidRPr="00361FA6" w:rsidRDefault="003105FC" w:rsidP="00361FA6">
            <w:pPr>
              <w:spacing w:after="0"/>
              <w:jc w:val="center"/>
              <w:rPr>
                <w:rFonts w:ascii="Calibri" w:hAnsi="Calibri" w:cs="Arial"/>
                <w:szCs w:val="18"/>
                <w:lang w:eastAsia="en-GB"/>
              </w:rPr>
            </w:pPr>
            <w:r>
              <w:rPr>
                <w:rFonts w:ascii="Calibri" w:hAnsi="Calibri" w:cs="Arial"/>
                <w:szCs w:val="18"/>
                <w:lang w:eastAsia="en-GB"/>
              </w:rPr>
              <w:t>8</w:t>
            </w:r>
          </w:p>
        </w:tc>
        <w:tc>
          <w:tcPr>
            <w:tcW w:w="1377" w:type="dxa"/>
            <w:tcBorders>
              <w:top w:val="nil"/>
              <w:left w:val="nil"/>
              <w:bottom w:val="nil"/>
              <w:right w:val="nil"/>
            </w:tcBorders>
            <w:shd w:val="clear" w:color="000000" w:fill="FFFFFF"/>
            <w:noWrap/>
            <w:vAlign w:val="center"/>
            <w:hideMark/>
          </w:tcPr>
          <w:p w14:paraId="1A786ABA"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  </w:t>
            </w:r>
          </w:p>
        </w:tc>
        <w:tc>
          <w:tcPr>
            <w:tcW w:w="284" w:type="dxa"/>
            <w:tcBorders>
              <w:top w:val="nil"/>
              <w:left w:val="nil"/>
              <w:bottom w:val="nil"/>
              <w:right w:val="nil"/>
            </w:tcBorders>
            <w:shd w:val="clear" w:color="000000" w:fill="FFFFFF"/>
            <w:noWrap/>
            <w:vAlign w:val="center"/>
            <w:hideMark/>
          </w:tcPr>
          <w:p w14:paraId="18A322D6"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457C273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(4,757)</w:t>
            </w:r>
          </w:p>
        </w:tc>
        <w:tc>
          <w:tcPr>
            <w:tcW w:w="280" w:type="dxa"/>
            <w:tcBorders>
              <w:top w:val="nil"/>
              <w:left w:val="nil"/>
              <w:bottom w:val="nil"/>
              <w:right w:val="nil"/>
            </w:tcBorders>
            <w:shd w:val="clear" w:color="000000" w:fill="FFFFFF"/>
            <w:vAlign w:val="center"/>
            <w:hideMark/>
          </w:tcPr>
          <w:p w14:paraId="46FA0B2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018BAA2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(4,767)</w:t>
            </w:r>
          </w:p>
        </w:tc>
      </w:tr>
      <w:tr w:rsidR="00361FA6" w:rsidRPr="00361FA6" w14:paraId="63BB9319" w14:textId="77777777" w:rsidTr="00B71EAB">
        <w:trPr>
          <w:trHeight w:val="240"/>
        </w:trPr>
        <w:tc>
          <w:tcPr>
            <w:tcW w:w="4140" w:type="dxa"/>
            <w:tcBorders>
              <w:top w:val="nil"/>
              <w:left w:val="nil"/>
              <w:bottom w:val="nil"/>
              <w:right w:val="nil"/>
            </w:tcBorders>
            <w:shd w:val="clear" w:color="000000" w:fill="FFFFFF"/>
            <w:noWrap/>
            <w:vAlign w:val="center"/>
            <w:hideMark/>
          </w:tcPr>
          <w:p w14:paraId="537357E6"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Finance Income</w:t>
            </w:r>
          </w:p>
        </w:tc>
        <w:tc>
          <w:tcPr>
            <w:tcW w:w="720" w:type="dxa"/>
            <w:tcBorders>
              <w:top w:val="nil"/>
              <w:left w:val="nil"/>
              <w:bottom w:val="nil"/>
              <w:right w:val="nil"/>
            </w:tcBorders>
            <w:shd w:val="clear" w:color="000000" w:fill="FFFFFF"/>
            <w:noWrap/>
            <w:vAlign w:val="center"/>
            <w:hideMark/>
          </w:tcPr>
          <w:p w14:paraId="0AFFFE4E"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19CBB175"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6 </w:t>
            </w:r>
          </w:p>
        </w:tc>
        <w:tc>
          <w:tcPr>
            <w:tcW w:w="284" w:type="dxa"/>
            <w:tcBorders>
              <w:top w:val="nil"/>
              <w:left w:val="nil"/>
              <w:bottom w:val="nil"/>
              <w:right w:val="nil"/>
            </w:tcBorders>
            <w:shd w:val="clear" w:color="000000" w:fill="FFFFFF"/>
            <w:noWrap/>
            <w:vAlign w:val="center"/>
            <w:hideMark/>
          </w:tcPr>
          <w:p w14:paraId="3663950B"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2559A20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10 </w:t>
            </w:r>
          </w:p>
        </w:tc>
        <w:tc>
          <w:tcPr>
            <w:tcW w:w="280" w:type="dxa"/>
            <w:tcBorders>
              <w:top w:val="nil"/>
              <w:left w:val="nil"/>
              <w:bottom w:val="nil"/>
              <w:right w:val="nil"/>
            </w:tcBorders>
            <w:shd w:val="clear" w:color="000000" w:fill="FFFFFF"/>
            <w:vAlign w:val="center"/>
            <w:hideMark/>
          </w:tcPr>
          <w:p w14:paraId="7AAA015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6702712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11 </w:t>
            </w:r>
          </w:p>
        </w:tc>
      </w:tr>
      <w:tr w:rsidR="00361FA6" w:rsidRPr="00361FA6" w14:paraId="62E6493F" w14:textId="77777777" w:rsidTr="00B71EAB">
        <w:trPr>
          <w:trHeight w:val="240"/>
        </w:trPr>
        <w:tc>
          <w:tcPr>
            <w:tcW w:w="4140" w:type="dxa"/>
            <w:tcBorders>
              <w:top w:val="nil"/>
              <w:left w:val="nil"/>
              <w:bottom w:val="nil"/>
              <w:right w:val="nil"/>
            </w:tcBorders>
            <w:shd w:val="clear" w:color="000000" w:fill="FFFFFF"/>
            <w:noWrap/>
            <w:vAlign w:val="center"/>
            <w:hideMark/>
          </w:tcPr>
          <w:p w14:paraId="2E070D2F"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Finance cost</w:t>
            </w:r>
          </w:p>
        </w:tc>
        <w:tc>
          <w:tcPr>
            <w:tcW w:w="720" w:type="dxa"/>
            <w:tcBorders>
              <w:top w:val="nil"/>
              <w:left w:val="nil"/>
              <w:bottom w:val="nil"/>
              <w:right w:val="nil"/>
            </w:tcBorders>
            <w:shd w:val="clear" w:color="000000" w:fill="FFFFFF"/>
            <w:noWrap/>
            <w:vAlign w:val="center"/>
            <w:hideMark/>
          </w:tcPr>
          <w:p w14:paraId="5F919B84"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7007EFD1"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(1)</w:t>
            </w:r>
          </w:p>
        </w:tc>
        <w:tc>
          <w:tcPr>
            <w:tcW w:w="284" w:type="dxa"/>
            <w:tcBorders>
              <w:top w:val="nil"/>
              <w:left w:val="nil"/>
              <w:bottom w:val="nil"/>
              <w:right w:val="nil"/>
            </w:tcBorders>
            <w:shd w:val="clear" w:color="000000" w:fill="FFFFFF"/>
            <w:noWrap/>
            <w:vAlign w:val="center"/>
            <w:hideMark/>
          </w:tcPr>
          <w:p w14:paraId="7B880F1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2DB81AC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c>
          <w:tcPr>
            <w:tcW w:w="280" w:type="dxa"/>
            <w:tcBorders>
              <w:top w:val="nil"/>
              <w:left w:val="nil"/>
              <w:bottom w:val="nil"/>
              <w:right w:val="nil"/>
            </w:tcBorders>
            <w:shd w:val="clear" w:color="000000" w:fill="FFFFFF"/>
            <w:vAlign w:val="center"/>
            <w:hideMark/>
          </w:tcPr>
          <w:p w14:paraId="0AE754E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67AFEB6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w:t>
            </w:r>
          </w:p>
        </w:tc>
      </w:tr>
      <w:tr w:rsidR="00361FA6" w:rsidRPr="00361FA6" w14:paraId="0FE20E4A" w14:textId="77777777" w:rsidTr="00B71EAB">
        <w:trPr>
          <w:trHeight w:val="240"/>
        </w:trPr>
        <w:tc>
          <w:tcPr>
            <w:tcW w:w="4140" w:type="dxa"/>
            <w:tcBorders>
              <w:top w:val="nil"/>
              <w:left w:val="nil"/>
              <w:bottom w:val="nil"/>
              <w:right w:val="nil"/>
            </w:tcBorders>
            <w:shd w:val="clear" w:color="000000" w:fill="FFFFFF"/>
            <w:noWrap/>
            <w:vAlign w:val="center"/>
            <w:hideMark/>
          </w:tcPr>
          <w:p w14:paraId="3794E1A2"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Loss before tax</w:t>
            </w:r>
          </w:p>
        </w:tc>
        <w:tc>
          <w:tcPr>
            <w:tcW w:w="720" w:type="dxa"/>
            <w:tcBorders>
              <w:top w:val="nil"/>
              <w:left w:val="nil"/>
              <w:bottom w:val="nil"/>
              <w:right w:val="nil"/>
            </w:tcBorders>
            <w:shd w:val="clear" w:color="000000" w:fill="FFFFFF"/>
            <w:noWrap/>
            <w:vAlign w:val="center"/>
            <w:hideMark/>
          </w:tcPr>
          <w:p w14:paraId="65A0E555"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single" w:sz="4" w:space="0" w:color="auto"/>
              <w:left w:val="nil"/>
              <w:bottom w:val="nil"/>
              <w:right w:val="nil"/>
            </w:tcBorders>
            <w:shd w:val="clear" w:color="000000" w:fill="FFFFFF"/>
            <w:noWrap/>
            <w:vAlign w:val="center"/>
            <w:hideMark/>
          </w:tcPr>
          <w:p w14:paraId="688AD3C7"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(3,370)</w:t>
            </w:r>
          </w:p>
        </w:tc>
        <w:tc>
          <w:tcPr>
            <w:tcW w:w="284" w:type="dxa"/>
            <w:tcBorders>
              <w:top w:val="nil"/>
              <w:left w:val="nil"/>
              <w:bottom w:val="nil"/>
              <w:right w:val="nil"/>
            </w:tcBorders>
            <w:shd w:val="clear" w:color="000000" w:fill="FFFFFF"/>
            <w:noWrap/>
            <w:vAlign w:val="center"/>
            <w:hideMark/>
          </w:tcPr>
          <w:p w14:paraId="30EB7AB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single" w:sz="4" w:space="0" w:color="auto"/>
              <w:left w:val="nil"/>
              <w:bottom w:val="nil"/>
              <w:right w:val="nil"/>
            </w:tcBorders>
            <w:shd w:val="clear" w:color="000000" w:fill="FFFFFF"/>
            <w:noWrap/>
            <w:vAlign w:val="center"/>
            <w:hideMark/>
          </w:tcPr>
          <w:p w14:paraId="54CECCB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(6,587)</w:t>
            </w:r>
          </w:p>
        </w:tc>
        <w:tc>
          <w:tcPr>
            <w:tcW w:w="280" w:type="dxa"/>
            <w:tcBorders>
              <w:top w:val="nil"/>
              <w:left w:val="nil"/>
              <w:bottom w:val="nil"/>
              <w:right w:val="nil"/>
            </w:tcBorders>
            <w:shd w:val="clear" w:color="000000" w:fill="FFFFFF"/>
            <w:vAlign w:val="center"/>
            <w:hideMark/>
          </w:tcPr>
          <w:p w14:paraId="1C9152D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single" w:sz="4" w:space="0" w:color="auto"/>
              <w:left w:val="nil"/>
              <w:bottom w:val="nil"/>
              <w:right w:val="nil"/>
            </w:tcBorders>
            <w:shd w:val="clear" w:color="000000" w:fill="FFFFFF"/>
            <w:vAlign w:val="center"/>
            <w:hideMark/>
          </w:tcPr>
          <w:p w14:paraId="0E23D65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(7,910)</w:t>
            </w:r>
          </w:p>
        </w:tc>
      </w:tr>
      <w:tr w:rsidR="00361FA6" w:rsidRPr="00361FA6" w14:paraId="721FC516" w14:textId="77777777" w:rsidTr="00B71EAB">
        <w:trPr>
          <w:trHeight w:val="240"/>
        </w:trPr>
        <w:tc>
          <w:tcPr>
            <w:tcW w:w="4140" w:type="dxa"/>
            <w:tcBorders>
              <w:top w:val="nil"/>
              <w:left w:val="nil"/>
              <w:bottom w:val="nil"/>
              <w:right w:val="nil"/>
            </w:tcBorders>
            <w:shd w:val="clear" w:color="000000" w:fill="FFFFFF"/>
            <w:noWrap/>
            <w:vAlign w:val="center"/>
            <w:hideMark/>
          </w:tcPr>
          <w:p w14:paraId="6E4AE214"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720" w:type="dxa"/>
            <w:tcBorders>
              <w:top w:val="nil"/>
              <w:left w:val="nil"/>
              <w:bottom w:val="nil"/>
              <w:right w:val="nil"/>
            </w:tcBorders>
            <w:shd w:val="clear" w:color="000000" w:fill="FFFFFF"/>
            <w:noWrap/>
            <w:vAlign w:val="center"/>
            <w:hideMark/>
          </w:tcPr>
          <w:p w14:paraId="49D0181E"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4F3A24AB"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049D91E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2BF4413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54758D3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3CB7CC2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0E74F1E6" w14:textId="77777777" w:rsidTr="00B71EAB">
        <w:trPr>
          <w:trHeight w:val="240"/>
        </w:trPr>
        <w:tc>
          <w:tcPr>
            <w:tcW w:w="4140" w:type="dxa"/>
            <w:tcBorders>
              <w:top w:val="nil"/>
              <w:left w:val="nil"/>
              <w:bottom w:val="nil"/>
              <w:right w:val="nil"/>
            </w:tcBorders>
            <w:shd w:val="clear" w:color="000000" w:fill="FFFFFF"/>
            <w:noWrap/>
            <w:vAlign w:val="center"/>
            <w:hideMark/>
          </w:tcPr>
          <w:p w14:paraId="47D8E3CA"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Taxation on continuing operations</w:t>
            </w:r>
          </w:p>
        </w:tc>
        <w:tc>
          <w:tcPr>
            <w:tcW w:w="720" w:type="dxa"/>
            <w:tcBorders>
              <w:top w:val="nil"/>
              <w:left w:val="nil"/>
              <w:bottom w:val="nil"/>
              <w:right w:val="nil"/>
            </w:tcBorders>
            <w:shd w:val="clear" w:color="000000" w:fill="FFFFFF"/>
            <w:noWrap/>
            <w:vAlign w:val="center"/>
            <w:hideMark/>
          </w:tcPr>
          <w:p w14:paraId="66A78D87"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44ED6961"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(46)</w:t>
            </w:r>
          </w:p>
        </w:tc>
        <w:tc>
          <w:tcPr>
            <w:tcW w:w="284" w:type="dxa"/>
            <w:tcBorders>
              <w:top w:val="nil"/>
              <w:left w:val="nil"/>
              <w:bottom w:val="nil"/>
              <w:right w:val="nil"/>
            </w:tcBorders>
            <w:shd w:val="clear" w:color="000000" w:fill="FFFFFF"/>
            <w:noWrap/>
            <w:vAlign w:val="center"/>
            <w:hideMark/>
          </w:tcPr>
          <w:p w14:paraId="62F0994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single" w:sz="4" w:space="0" w:color="auto"/>
              <w:right w:val="nil"/>
            </w:tcBorders>
            <w:shd w:val="clear" w:color="000000" w:fill="FFFFFF"/>
            <w:vAlign w:val="center"/>
            <w:hideMark/>
          </w:tcPr>
          <w:p w14:paraId="43365B3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(10)</w:t>
            </w:r>
          </w:p>
        </w:tc>
        <w:tc>
          <w:tcPr>
            <w:tcW w:w="280" w:type="dxa"/>
            <w:tcBorders>
              <w:top w:val="nil"/>
              <w:left w:val="nil"/>
              <w:bottom w:val="nil"/>
              <w:right w:val="nil"/>
            </w:tcBorders>
            <w:shd w:val="clear" w:color="000000" w:fill="FFFFFF"/>
            <w:vAlign w:val="center"/>
            <w:hideMark/>
          </w:tcPr>
          <w:p w14:paraId="17554B6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single" w:sz="4" w:space="0" w:color="auto"/>
              <w:right w:val="nil"/>
            </w:tcBorders>
            <w:shd w:val="clear" w:color="000000" w:fill="FFFFFF"/>
            <w:vAlign w:val="center"/>
            <w:hideMark/>
          </w:tcPr>
          <w:p w14:paraId="3E3B92A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w:t>
            </w:r>
          </w:p>
        </w:tc>
      </w:tr>
      <w:tr w:rsidR="00361FA6" w:rsidRPr="00361FA6" w14:paraId="127A39BA" w14:textId="77777777" w:rsidTr="00B71EAB">
        <w:trPr>
          <w:trHeight w:val="495"/>
        </w:trPr>
        <w:tc>
          <w:tcPr>
            <w:tcW w:w="4140" w:type="dxa"/>
            <w:tcBorders>
              <w:top w:val="nil"/>
              <w:left w:val="nil"/>
              <w:bottom w:val="nil"/>
              <w:right w:val="nil"/>
            </w:tcBorders>
            <w:shd w:val="clear" w:color="000000" w:fill="FFFFFF"/>
            <w:vAlign w:val="center"/>
            <w:hideMark/>
          </w:tcPr>
          <w:p w14:paraId="3770BC01"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Loss from operations attributable to owners of the parent company</w:t>
            </w:r>
          </w:p>
        </w:tc>
        <w:tc>
          <w:tcPr>
            <w:tcW w:w="720" w:type="dxa"/>
            <w:tcBorders>
              <w:top w:val="nil"/>
              <w:left w:val="nil"/>
              <w:bottom w:val="nil"/>
              <w:right w:val="nil"/>
            </w:tcBorders>
            <w:shd w:val="clear" w:color="000000" w:fill="FFFFFF"/>
            <w:noWrap/>
            <w:vAlign w:val="center"/>
            <w:hideMark/>
          </w:tcPr>
          <w:p w14:paraId="7AE935B8"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single" w:sz="4" w:space="0" w:color="auto"/>
              <w:left w:val="nil"/>
              <w:bottom w:val="double" w:sz="6" w:space="0" w:color="auto"/>
              <w:right w:val="nil"/>
            </w:tcBorders>
            <w:shd w:val="clear" w:color="000000" w:fill="FFFFFF"/>
            <w:vAlign w:val="center"/>
            <w:hideMark/>
          </w:tcPr>
          <w:p w14:paraId="5FBEDF5C"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(3,416)</w:t>
            </w:r>
          </w:p>
        </w:tc>
        <w:tc>
          <w:tcPr>
            <w:tcW w:w="284" w:type="dxa"/>
            <w:tcBorders>
              <w:top w:val="nil"/>
              <w:left w:val="nil"/>
              <w:bottom w:val="nil"/>
              <w:right w:val="nil"/>
            </w:tcBorders>
            <w:shd w:val="clear" w:color="000000" w:fill="FFFFFF"/>
            <w:vAlign w:val="center"/>
            <w:hideMark/>
          </w:tcPr>
          <w:p w14:paraId="388BAEA7"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double" w:sz="6" w:space="0" w:color="auto"/>
              <w:right w:val="nil"/>
            </w:tcBorders>
            <w:shd w:val="clear" w:color="000000" w:fill="FFFFFF"/>
            <w:vAlign w:val="center"/>
            <w:hideMark/>
          </w:tcPr>
          <w:p w14:paraId="61B81B8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(6,597)</w:t>
            </w:r>
          </w:p>
        </w:tc>
        <w:tc>
          <w:tcPr>
            <w:tcW w:w="280" w:type="dxa"/>
            <w:tcBorders>
              <w:top w:val="nil"/>
              <w:left w:val="nil"/>
              <w:bottom w:val="nil"/>
              <w:right w:val="nil"/>
            </w:tcBorders>
            <w:shd w:val="clear" w:color="000000" w:fill="FFFFFF"/>
            <w:vAlign w:val="center"/>
            <w:hideMark/>
          </w:tcPr>
          <w:p w14:paraId="6F04E23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double" w:sz="6" w:space="0" w:color="auto"/>
              <w:right w:val="nil"/>
            </w:tcBorders>
            <w:shd w:val="clear" w:color="000000" w:fill="FFFFFF"/>
            <w:vAlign w:val="center"/>
            <w:hideMark/>
          </w:tcPr>
          <w:p w14:paraId="2967E99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(7,913)</w:t>
            </w:r>
          </w:p>
        </w:tc>
      </w:tr>
      <w:tr w:rsidR="00361FA6" w:rsidRPr="00361FA6" w14:paraId="5020E54D" w14:textId="77777777" w:rsidTr="00B71EAB">
        <w:trPr>
          <w:trHeight w:val="255"/>
        </w:trPr>
        <w:tc>
          <w:tcPr>
            <w:tcW w:w="4140" w:type="dxa"/>
            <w:tcBorders>
              <w:top w:val="nil"/>
              <w:left w:val="nil"/>
              <w:bottom w:val="nil"/>
              <w:right w:val="nil"/>
            </w:tcBorders>
            <w:shd w:val="clear" w:color="000000" w:fill="FFFFFF"/>
            <w:noWrap/>
            <w:vAlign w:val="center"/>
            <w:hideMark/>
          </w:tcPr>
          <w:p w14:paraId="76055A8D"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noWrap/>
            <w:vAlign w:val="center"/>
            <w:hideMark/>
          </w:tcPr>
          <w:p w14:paraId="466FC616"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490F255D"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651945C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15972A8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6347563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42C30EF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0FC0697C" w14:textId="77777777" w:rsidTr="00B71EAB">
        <w:trPr>
          <w:trHeight w:val="240"/>
        </w:trPr>
        <w:tc>
          <w:tcPr>
            <w:tcW w:w="4140" w:type="dxa"/>
            <w:tcBorders>
              <w:top w:val="nil"/>
              <w:left w:val="nil"/>
              <w:bottom w:val="nil"/>
              <w:right w:val="nil"/>
            </w:tcBorders>
            <w:shd w:val="clear" w:color="000000" w:fill="FFFFFF"/>
            <w:noWrap/>
            <w:vAlign w:val="center"/>
            <w:hideMark/>
          </w:tcPr>
          <w:p w14:paraId="1909AC3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Fair value (loss)/gain on investment</w:t>
            </w:r>
          </w:p>
        </w:tc>
        <w:tc>
          <w:tcPr>
            <w:tcW w:w="720" w:type="dxa"/>
            <w:tcBorders>
              <w:top w:val="nil"/>
              <w:left w:val="nil"/>
              <w:bottom w:val="nil"/>
              <w:right w:val="nil"/>
            </w:tcBorders>
            <w:shd w:val="clear" w:color="000000" w:fill="FFFFFF"/>
            <w:noWrap/>
            <w:vAlign w:val="center"/>
            <w:hideMark/>
          </w:tcPr>
          <w:p w14:paraId="231F98E3"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0E39021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  </w:t>
            </w:r>
          </w:p>
        </w:tc>
        <w:tc>
          <w:tcPr>
            <w:tcW w:w="284" w:type="dxa"/>
            <w:tcBorders>
              <w:top w:val="nil"/>
              <w:left w:val="nil"/>
              <w:bottom w:val="nil"/>
              <w:right w:val="nil"/>
            </w:tcBorders>
            <w:shd w:val="clear" w:color="000000" w:fill="FFFFFF"/>
            <w:noWrap/>
            <w:vAlign w:val="center"/>
            <w:hideMark/>
          </w:tcPr>
          <w:p w14:paraId="3C1162ED"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020CF7A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c>
          <w:tcPr>
            <w:tcW w:w="280" w:type="dxa"/>
            <w:tcBorders>
              <w:top w:val="nil"/>
              <w:left w:val="nil"/>
              <w:bottom w:val="nil"/>
              <w:right w:val="nil"/>
            </w:tcBorders>
            <w:shd w:val="clear" w:color="000000" w:fill="FFFFFF"/>
            <w:vAlign w:val="center"/>
            <w:hideMark/>
          </w:tcPr>
          <w:p w14:paraId="4685046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7805C0B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r>
      <w:tr w:rsidR="00361FA6" w:rsidRPr="00361FA6" w14:paraId="062374A1" w14:textId="77777777" w:rsidTr="00B71EAB">
        <w:trPr>
          <w:trHeight w:val="240"/>
        </w:trPr>
        <w:tc>
          <w:tcPr>
            <w:tcW w:w="4140" w:type="dxa"/>
            <w:tcBorders>
              <w:top w:val="nil"/>
              <w:left w:val="nil"/>
              <w:bottom w:val="nil"/>
              <w:right w:val="nil"/>
            </w:tcBorders>
            <w:shd w:val="clear" w:color="000000" w:fill="FFFFFF"/>
            <w:noWrap/>
            <w:vAlign w:val="center"/>
            <w:hideMark/>
          </w:tcPr>
          <w:p w14:paraId="639B648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Foreign exchange</w:t>
            </w:r>
          </w:p>
        </w:tc>
        <w:tc>
          <w:tcPr>
            <w:tcW w:w="720" w:type="dxa"/>
            <w:tcBorders>
              <w:top w:val="nil"/>
              <w:left w:val="nil"/>
              <w:bottom w:val="nil"/>
              <w:right w:val="nil"/>
            </w:tcBorders>
            <w:shd w:val="clear" w:color="000000" w:fill="FFFFFF"/>
            <w:noWrap/>
            <w:vAlign w:val="center"/>
            <w:hideMark/>
          </w:tcPr>
          <w:p w14:paraId="5B6C8EDF"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6EB1D63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196 </w:t>
            </w:r>
          </w:p>
        </w:tc>
        <w:tc>
          <w:tcPr>
            <w:tcW w:w="284" w:type="dxa"/>
            <w:tcBorders>
              <w:top w:val="nil"/>
              <w:left w:val="nil"/>
              <w:bottom w:val="nil"/>
              <w:right w:val="nil"/>
            </w:tcBorders>
            <w:shd w:val="clear" w:color="000000" w:fill="FFFFFF"/>
            <w:noWrap/>
            <w:vAlign w:val="center"/>
            <w:hideMark/>
          </w:tcPr>
          <w:p w14:paraId="377376E3"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63A4AED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(36)</w:t>
            </w:r>
          </w:p>
        </w:tc>
        <w:tc>
          <w:tcPr>
            <w:tcW w:w="280" w:type="dxa"/>
            <w:tcBorders>
              <w:top w:val="nil"/>
              <w:left w:val="nil"/>
              <w:bottom w:val="nil"/>
              <w:right w:val="nil"/>
            </w:tcBorders>
            <w:shd w:val="clear" w:color="000000" w:fill="FFFFFF"/>
            <w:vAlign w:val="center"/>
            <w:hideMark/>
          </w:tcPr>
          <w:p w14:paraId="3FD3654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2BE187C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27 </w:t>
            </w:r>
          </w:p>
        </w:tc>
      </w:tr>
      <w:tr w:rsidR="00361FA6" w:rsidRPr="00361FA6" w14:paraId="11919EE3" w14:textId="77777777" w:rsidTr="00B71EAB">
        <w:trPr>
          <w:trHeight w:val="240"/>
        </w:trPr>
        <w:tc>
          <w:tcPr>
            <w:tcW w:w="4140" w:type="dxa"/>
            <w:tcBorders>
              <w:top w:val="nil"/>
              <w:left w:val="nil"/>
              <w:bottom w:val="nil"/>
              <w:right w:val="nil"/>
            </w:tcBorders>
            <w:shd w:val="clear" w:color="000000" w:fill="FFFFFF"/>
            <w:vAlign w:val="center"/>
            <w:hideMark/>
          </w:tcPr>
          <w:p w14:paraId="193DFDF6"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720" w:type="dxa"/>
            <w:tcBorders>
              <w:top w:val="nil"/>
              <w:left w:val="nil"/>
              <w:bottom w:val="nil"/>
              <w:right w:val="nil"/>
            </w:tcBorders>
            <w:shd w:val="clear" w:color="000000" w:fill="FFFFFF"/>
            <w:vAlign w:val="center"/>
            <w:hideMark/>
          </w:tcPr>
          <w:p w14:paraId="7A44860E"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31D7B010"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3A8A1BB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single" w:sz="4" w:space="0" w:color="auto"/>
              <w:right w:val="nil"/>
            </w:tcBorders>
            <w:shd w:val="clear" w:color="000000" w:fill="FFFFFF"/>
            <w:vAlign w:val="center"/>
            <w:hideMark/>
          </w:tcPr>
          <w:p w14:paraId="5F564DB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80" w:type="dxa"/>
            <w:tcBorders>
              <w:top w:val="nil"/>
              <w:left w:val="nil"/>
              <w:bottom w:val="nil"/>
              <w:right w:val="nil"/>
            </w:tcBorders>
            <w:shd w:val="clear" w:color="000000" w:fill="FFFFFF"/>
            <w:vAlign w:val="center"/>
            <w:hideMark/>
          </w:tcPr>
          <w:p w14:paraId="0CF13B1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single" w:sz="4" w:space="0" w:color="auto"/>
              <w:right w:val="nil"/>
            </w:tcBorders>
            <w:shd w:val="clear" w:color="000000" w:fill="FFFFFF"/>
            <w:vAlign w:val="center"/>
            <w:hideMark/>
          </w:tcPr>
          <w:p w14:paraId="1D744BE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6FE84E41" w14:textId="77777777" w:rsidTr="00B71EAB">
        <w:trPr>
          <w:trHeight w:val="495"/>
        </w:trPr>
        <w:tc>
          <w:tcPr>
            <w:tcW w:w="4140" w:type="dxa"/>
            <w:tcBorders>
              <w:top w:val="nil"/>
              <w:left w:val="nil"/>
              <w:bottom w:val="nil"/>
              <w:right w:val="nil"/>
            </w:tcBorders>
            <w:shd w:val="clear" w:color="000000" w:fill="FFFFFF"/>
            <w:vAlign w:val="center"/>
            <w:hideMark/>
          </w:tcPr>
          <w:p w14:paraId="1A893180"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Total comprehensive income attributable to owners of the parent company</w:t>
            </w:r>
          </w:p>
        </w:tc>
        <w:tc>
          <w:tcPr>
            <w:tcW w:w="720" w:type="dxa"/>
            <w:tcBorders>
              <w:top w:val="nil"/>
              <w:left w:val="nil"/>
              <w:bottom w:val="nil"/>
              <w:right w:val="nil"/>
            </w:tcBorders>
            <w:shd w:val="clear" w:color="000000" w:fill="FFFFFF"/>
            <w:vAlign w:val="center"/>
            <w:hideMark/>
          </w:tcPr>
          <w:p w14:paraId="1C3CB679"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single" w:sz="4" w:space="0" w:color="auto"/>
              <w:left w:val="nil"/>
              <w:bottom w:val="double" w:sz="6" w:space="0" w:color="auto"/>
              <w:right w:val="nil"/>
            </w:tcBorders>
            <w:shd w:val="clear" w:color="000000" w:fill="FFFFFF"/>
            <w:vAlign w:val="center"/>
            <w:hideMark/>
          </w:tcPr>
          <w:p w14:paraId="6030F18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(3,220)</w:t>
            </w:r>
          </w:p>
        </w:tc>
        <w:tc>
          <w:tcPr>
            <w:tcW w:w="284" w:type="dxa"/>
            <w:tcBorders>
              <w:top w:val="nil"/>
              <w:left w:val="nil"/>
              <w:bottom w:val="nil"/>
              <w:right w:val="nil"/>
            </w:tcBorders>
            <w:shd w:val="clear" w:color="000000" w:fill="FFFFFF"/>
            <w:vAlign w:val="center"/>
            <w:hideMark/>
          </w:tcPr>
          <w:p w14:paraId="50AFDE3A"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double" w:sz="6" w:space="0" w:color="auto"/>
              <w:right w:val="nil"/>
            </w:tcBorders>
            <w:shd w:val="clear" w:color="000000" w:fill="FFFFFF"/>
            <w:vAlign w:val="center"/>
            <w:hideMark/>
          </w:tcPr>
          <w:p w14:paraId="05ED4AC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(6,632)</w:t>
            </w:r>
          </w:p>
        </w:tc>
        <w:tc>
          <w:tcPr>
            <w:tcW w:w="280" w:type="dxa"/>
            <w:tcBorders>
              <w:top w:val="nil"/>
              <w:left w:val="nil"/>
              <w:bottom w:val="nil"/>
              <w:right w:val="nil"/>
            </w:tcBorders>
            <w:shd w:val="clear" w:color="000000" w:fill="FFFFFF"/>
            <w:vAlign w:val="center"/>
            <w:hideMark/>
          </w:tcPr>
          <w:p w14:paraId="7B59DFB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double" w:sz="6" w:space="0" w:color="auto"/>
              <w:right w:val="nil"/>
            </w:tcBorders>
            <w:shd w:val="clear" w:color="000000" w:fill="FFFFFF"/>
            <w:vAlign w:val="center"/>
            <w:hideMark/>
          </w:tcPr>
          <w:p w14:paraId="41E7AD1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(7,886)</w:t>
            </w:r>
          </w:p>
        </w:tc>
      </w:tr>
      <w:tr w:rsidR="00361FA6" w:rsidRPr="00361FA6" w14:paraId="4B201297" w14:textId="77777777" w:rsidTr="00B71EAB">
        <w:trPr>
          <w:trHeight w:val="255"/>
        </w:trPr>
        <w:tc>
          <w:tcPr>
            <w:tcW w:w="4140" w:type="dxa"/>
            <w:tcBorders>
              <w:top w:val="nil"/>
              <w:left w:val="nil"/>
              <w:bottom w:val="nil"/>
              <w:right w:val="nil"/>
            </w:tcBorders>
            <w:shd w:val="clear" w:color="000000" w:fill="FFFFFF"/>
            <w:vAlign w:val="center"/>
            <w:hideMark/>
          </w:tcPr>
          <w:p w14:paraId="3E0EF9F7"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720" w:type="dxa"/>
            <w:tcBorders>
              <w:top w:val="nil"/>
              <w:left w:val="nil"/>
              <w:bottom w:val="nil"/>
              <w:right w:val="nil"/>
            </w:tcBorders>
            <w:shd w:val="clear" w:color="000000" w:fill="FFFFFF"/>
            <w:vAlign w:val="center"/>
            <w:hideMark/>
          </w:tcPr>
          <w:p w14:paraId="5F98575D"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vAlign w:val="center"/>
            <w:hideMark/>
          </w:tcPr>
          <w:p w14:paraId="725C746E"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vAlign w:val="center"/>
            <w:hideMark/>
          </w:tcPr>
          <w:p w14:paraId="5FEBA48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vAlign w:val="center"/>
            <w:hideMark/>
          </w:tcPr>
          <w:p w14:paraId="6E12F580"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80" w:type="dxa"/>
            <w:tcBorders>
              <w:top w:val="nil"/>
              <w:left w:val="nil"/>
              <w:bottom w:val="nil"/>
              <w:right w:val="nil"/>
            </w:tcBorders>
            <w:shd w:val="clear" w:color="000000" w:fill="FFFFFF"/>
            <w:vAlign w:val="center"/>
            <w:hideMark/>
          </w:tcPr>
          <w:p w14:paraId="68612D6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vAlign w:val="center"/>
            <w:hideMark/>
          </w:tcPr>
          <w:p w14:paraId="7316C21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428F4A52" w14:textId="77777777" w:rsidTr="00B71EAB">
        <w:trPr>
          <w:trHeight w:val="240"/>
        </w:trPr>
        <w:tc>
          <w:tcPr>
            <w:tcW w:w="4140" w:type="dxa"/>
            <w:tcBorders>
              <w:top w:val="nil"/>
              <w:left w:val="nil"/>
              <w:bottom w:val="nil"/>
              <w:right w:val="nil"/>
            </w:tcBorders>
            <w:shd w:val="clear" w:color="000000" w:fill="FFFFFF"/>
            <w:noWrap/>
            <w:vAlign w:val="center"/>
            <w:hideMark/>
          </w:tcPr>
          <w:p w14:paraId="287613FB"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Loss per share (pence)</w:t>
            </w:r>
          </w:p>
        </w:tc>
        <w:tc>
          <w:tcPr>
            <w:tcW w:w="720" w:type="dxa"/>
            <w:tcBorders>
              <w:top w:val="nil"/>
              <w:left w:val="nil"/>
              <w:bottom w:val="nil"/>
              <w:right w:val="nil"/>
            </w:tcBorders>
            <w:shd w:val="clear" w:color="000000" w:fill="FFFFFF"/>
            <w:noWrap/>
            <w:vAlign w:val="center"/>
            <w:hideMark/>
          </w:tcPr>
          <w:p w14:paraId="54E957F4"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nil"/>
              <w:right w:val="nil"/>
            </w:tcBorders>
            <w:shd w:val="clear" w:color="000000" w:fill="FFFFFF"/>
            <w:noWrap/>
            <w:vAlign w:val="center"/>
            <w:hideMark/>
          </w:tcPr>
          <w:p w14:paraId="16E00854"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284" w:type="dxa"/>
            <w:tcBorders>
              <w:top w:val="nil"/>
              <w:left w:val="nil"/>
              <w:bottom w:val="nil"/>
              <w:right w:val="nil"/>
            </w:tcBorders>
            <w:shd w:val="clear" w:color="000000" w:fill="FFFFFF"/>
            <w:noWrap/>
            <w:vAlign w:val="center"/>
            <w:hideMark/>
          </w:tcPr>
          <w:p w14:paraId="2BAC4C71"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nil"/>
              <w:right w:val="nil"/>
            </w:tcBorders>
            <w:shd w:val="clear" w:color="000000" w:fill="FFFFFF"/>
            <w:noWrap/>
            <w:vAlign w:val="center"/>
            <w:hideMark/>
          </w:tcPr>
          <w:p w14:paraId="0BFD614C"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280" w:type="dxa"/>
            <w:tcBorders>
              <w:top w:val="nil"/>
              <w:left w:val="nil"/>
              <w:bottom w:val="nil"/>
              <w:right w:val="nil"/>
            </w:tcBorders>
            <w:shd w:val="clear" w:color="000000" w:fill="FFFFFF"/>
            <w:noWrap/>
            <w:vAlign w:val="center"/>
            <w:hideMark/>
          </w:tcPr>
          <w:p w14:paraId="128A56B6"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nil"/>
              <w:right w:val="nil"/>
            </w:tcBorders>
            <w:shd w:val="clear" w:color="000000" w:fill="FFFFFF"/>
            <w:noWrap/>
            <w:vAlign w:val="center"/>
            <w:hideMark/>
          </w:tcPr>
          <w:p w14:paraId="602D3D2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4EE6AC98" w14:textId="77777777" w:rsidTr="00B71EAB">
        <w:trPr>
          <w:trHeight w:val="255"/>
        </w:trPr>
        <w:tc>
          <w:tcPr>
            <w:tcW w:w="4140" w:type="dxa"/>
            <w:tcBorders>
              <w:top w:val="nil"/>
              <w:left w:val="nil"/>
              <w:bottom w:val="nil"/>
              <w:right w:val="nil"/>
            </w:tcBorders>
            <w:shd w:val="clear" w:color="000000" w:fill="FFFFFF"/>
            <w:noWrap/>
            <w:vAlign w:val="center"/>
            <w:hideMark/>
          </w:tcPr>
          <w:p w14:paraId="0E23072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Basic and diluted</w:t>
            </w:r>
          </w:p>
        </w:tc>
        <w:tc>
          <w:tcPr>
            <w:tcW w:w="720" w:type="dxa"/>
            <w:tcBorders>
              <w:top w:val="nil"/>
              <w:left w:val="nil"/>
              <w:bottom w:val="nil"/>
              <w:right w:val="nil"/>
            </w:tcBorders>
            <w:shd w:val="clear" w:color="000000" w:fill="FFFFFF"/>
            <w:noWrap/>
            <w:vAlign w:val="center"/>
            <w:hideMark/>
          </w:tcPr>
          <w:p w14:paraId="70D54092"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77" w:type="dxa"/>
            <w:tcBorders>
              <w:top w:val="nil"/>
              <w:left w:val="nil"/>
              <w:bottom w:val="double" w:sz="6" w:space="0" w:color="auto"/>
              <w:right w:val="nil"/>
            </w:tcBorders>
            <w:shd w:val="clear" w:color="000000" w:fill="FFFFFF"/>
            <w:vAlign w:val="center"/>
            <w:hideMark/>
          </w:tcPr>
          <w:p w14:paraId="401B1B1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(2.87)</w:t>
            </w:r>
          </w:p>
        </w:tc>
        <w:tc>
          <w:tcPr>
            <w:tcW w:w="284" w:type="dxa"/>
            <w:tcBorders>
              <w:top w:val="nil"/>
              <w:left w:val="nil"/>
              <w:bottom w:val="nil"/>
              <w:right w:val="nil"/>
            </w:tcBorders>
            <w:shd w:val="clear" w:color="000000" w:fill="FFFFFF"/>
            <w:noWrap/>
            <w:vAlign w:val="center"/>
            <w:hideMark/>
          </w:tcPr>
          <w:p w14:paraId="6AEB63D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1225" w:type="dxa"/>
            <w:tcBorders>
              <w:top w:val="nil"/>
              <w:left w:val="nil"/>
              <w:bottom w:val="double" w:sz="6" w:space="0" w:color="auto"/>
              <w:right w:val="nil"/>
            </w:tcBorders>
            <w:shd w:val="clear" w:color="000000" w:fill="FFFFFF"/>
            <w:vAlign w:val="center"/>
            <w:hideMark/>
          </w:tcPr>
          <w:p w14:paraId="6363616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(6.13)</w:t>
            </w:r>
          </w:p>
        </w:tc>
        <w:tc>
          <w:tcPr>
            <w:tcW w:w="280" w:type="dxa"/>
            <w:tcBorders>
              <w:top w:val="nil"/>
              <w:left w:val="nil"/>
              <w:bottom w:val="nil"/>
              <w:right w:val="nil"/>
            </w:tcBorders>
            <w:shd w:val="clear" w:color="000000" w:fill="FFFFFF"/>
            <w:noWrap/>
            <w:vAlign w:val="center"/>
            <w:hideMark/>
          </w:tcPr>
          <w:p w14:paraId="769C0B12"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080" w:type="dxa"/>
            <w:tcBorders>
              <w:top w:val="nil"/>
              <w:left w:val="nil"/>
              <w:bottom w:val="double" w:sz="6" w:space="0" w:color="auto"/>
              <w:right w:val="nil"/>
            </w:tcBorders>
            <w:shd w:val="clear" w:color="000000" w:fill="FFFFFF"/>
            <w:vAlign w:val="center"/>
            <w:hideMark/>
          </w:tcPr>
          <w:p w14:paraId="5B61B84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(7.31)</w:t>
            </w:r>
          </w:p>
        </w:tc>
      </w:tr>
    </w:tbl>
    <w:p w14:paraId="02781D49" w14:textId="77777777" w:rsidR="00784641" w:rsidRPr="00B64527" w:rsidRDefault="00784641" w:rsidP="00784641">
      <w:pPr>
        <w:spacing w:after="0"/>
        <w:rPr>
          <w:rFonts w:ascii="Calibri" w:hAnsi="Calibri"/>
          <w:szCs w:val="18"/>
          <w:highlight w:val="yellow"/>
        </w:rPr>
      </w:pPr>
    </w:p>
    <w:p w14:paraId="550839BB" w14:textId="77777777" w:rsidR="00784641" w:rsidRPr="00B64527" w:rsidRDefault="00784641" w:rsidP="00784641">
      <w:pPr>
        <w:pStyle w:val="B1"/>
        <w:numPr>
          <w:ilvl w:val="0"/>
          <w:numId w:val="0"/>
        </w:numPr>
        <w:spacing w:after="0"/>
        <w:jc w:val="both"/>
        <w:rPr>
          <w:rFonts w:ascii="Calibri" w:hAnsi="Calibri"/>
          <w:noProof/>
          <w:color w:val="000000"/>
          <w:highlight w:val="yellow"/>
          <w:lang w:val="en-GB"/>
        </w:rPr>
      </w:pPr>
    </w:p>
    <w:p w14:paraId="379BAE54" w14:textId="77777777" w:rsidR="00784641" w:rsidRPr="00B64527" w:rsidRDefault="00784641" w:rsidP="00784641">
      <w:pPr>
        <w:pStyle w:val="B1"/>
        <w:numPr>
          <w:ilvl w:val="0"/>
          <w:numId w:val="0"/>
        </w:numPr>
        <w:spacing w:after="0"/>
        <w:jc w:val="both"/>
        <w:rPr>
          <w:rFonts w:ascii="Calibri" w:hAnsi="Calibri"/>
          <w:noProof/>
          <w:color w:val="000000"/>
          <w:highlight w:val="yellow"/>
          <w:lang w:val="en-GB"/>
        </w:rPr>
      </w:pPr>
    </w:p>
    <w:p w14:paraId="6A7B8C81" w14:textId="77777777" w:rsidR="00784641" w:rsidRPr="00B64527" w:rsidRDefault="00784641" w:rsidP="00784641">
      <w:pPr>
        <w:pStyle w:val="Heading1"/>
        <w:spacing w:after="0"/>
        <w:jc w:val="both"/>
        <w:rPr>
          <w:rFonts w:ascii="Calibri" w:hAnsi="Calibri"/>
          <w:noProof/>
          <w:color w:val="000000"/>
          <w:sz w:val="18"/>
          <w:highlight w:val="yellow"/>
        </w:rPr>
        <w:sectPr w:rsidR="00784641" w:rsidRPr="00B64527" w:rsidSect="002624F1">
          <w:headerReference w:type="default" r:id="rId9"/>
          <w:pgSz w:w="11906" w:h="16838" w:code="9"/>
          <w:pgMar w:top="899" w:right="1077" w:bottom="1077" w:left="1361" w:header="567" w:footer="851" w:gutter="0"/>
          <w:cols w:space="708"/>
          <w:docGrid w:linePitch="360"/>
        </w:sectPr>
      </w:pPr>
      <w:bookmarkStart w:id="1" w:name="_Toc275209491"/>
      <w:bookmarkStart w:id="2" w:name="OLE_LINK1"/>
      <w:bookmarkStart w:id="3" w:name="OLE_LINK2"/>
    </w:p>
    <w:p w14:paraId="002EF8C1" w14:textId="03C560BB" w:rsidR="00F032FF" w:rsidRPr="00F032FF" w:rsidRDefault="00F032FF" w:rsidP="00F032FF">
      <w:pPr>
        <w:pStyle w:val="Header"/>
        <w:rPr>
          <w:b/>
        </w:rPr>
      </w:pPr>
      <w:bookmarkStart w:id="4" w:name="_Toc275209496"/>
      <w:bookmarkEnd w:id="1"/>
      <w:bookmarkEnd w:id="2"/>
      <w:bookmarkEnd w:id="3"/>
      <w:r>
        <w:rPr>
          <w:b/>
        </w:rPr>
        <w:lastRenderedPageBreak/>
        <w:t>7digital</w:t>
      </w:r>
      <w:r w:rsidRPr="004F7E52">
        <w:rPr>
          <w:b/>
        </w:rPr>
        <w:t xml:space="preserve"> Group plc</w:t>
      </w:r>
    </w:p>
    <w:p w14:paraId="2509A456" w14:textId="77777777" w:rsidR="00F032FF" w:rsidRDefault="00F032FF" w:rsidP="00F032FF">
      <w:pPr>
        <w:pStyle w:val="Header"/>
        <w:rPr>
          <w:b/>
        </w:rPr>
      </w:pPr>
      <w:r>
        <w:rPr>
          <w:b/>
        </w:rPr>
        <w:t>Condensed consolidated statement of financial position</w:t>
      </w:r>
    </w:p>
    <w:p w14:paraId="7DF22EC3" w14:textId="77777777" w:rsidR="00F032FF" w:rsidRDefault="00F032FF" w:rsidP="00F032FF">
      <w:pPr>
        <w:pStyle w:val="Header"/>
        <w:rPr>
          <w:b/>
        </w:rPr>
      </w:pPr>
      <w:r>
        <w:rPr>
          <w:b/>
        </w:rPr>
        <w:t>As at 30 June 2016 (unaudited)</w:t>
      </w:r>
    </w:p>
    <w:tbl>
      <w:tblPr>
        <w:tblW w:w="9832" w:type="dxa"/>
        <w:tblInd w:w="108" w:type="dxa"/>
        <w:tblLook w:val="04A0" w:firstRow="1" w:lastRow="0" w:firstColumn="1" w:lastColumn="0" w:noHBand="0" w:noVBand="1"/>
      </w:tblPr>
      <w:tblGrid>
        <w:gridCol w:w="4336"/>
        <w:gridCol w:w="648"/>
        <w:gridCol w:w="1472"/>
        <w:gridCol w:w="277"/>
        <w:gridCol w:w="1353"/>
        <w:gridCol w:w="277"/>
        <w:gridCol w:w="1469"/>
      </w:tblGrid>
      <w:tr w:rsidR="00361FA6" w:rsidRPr="00361FA6" w14:paraId="6ABA24BE" w14:textId="77777777" w:rsidTr="00F032FF">
        <w:trPr>
          <w:trHeight w:val="960"/>
        </w:trPr>
        <w:tc>
          <w:tcPr>
            <w:tcW w:w="4336" w:type="dxa"/>
            <w:tcBorders>
              <w:top w:val="nil"/>
              <w:left w:val="nil"/>
              <w:bottom w:val="nil"/>
              <w:right w:val="nil"/>
            </w:tcBorders>
            <w:shd w:val="clear" w:color="000000" w:fill="FFFFFF"/>
            <w:noWrap/>
            <w:vAlign w:val="center"/>
            <w:hideMark/>
          </w:tcPr>
          <w:p w14:paraId="02BBA50C"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648" w:type="dxa"/>
            <w:tcBorders>
              <w:top w:val="nil"/>
              <w:left w:val="nil"/>
              <w:bottom w:val="nil"/>
              <w:right w:val="nil"/>
            </w:tcBorders>
            <w:shd w:val="clear" w:color="000000" w:fill="FFFFFF"/>
            <w:noWrap/>
            <w:vAlign w:val="center"/>
            <w:hideMark/>
          </w:tcPr>
          <w:p w14:paraId="73B77D6C"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61537DB0"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Unaudited 30 Jun 2016</w:t>
            </w:r>
          </w:p>
        </w:tc>
        <w:tc>
          <w:tcPr>
            <w:tcW w:w="277" w:type="dxa"/>
            <w:tcBorders>
              <w:top w:val="nil"/>
              <w:left w:val="nil"/>
              <w:bottom w:val="nil"/>
              <w:right w:val="nil"/>
            </w:tcBorders>
            <w:shd w:val="clear" w:color="000000" w:fill="FFFFFF"/>
            <w:vAlign w:val="center"/>
            <w:hideMark/>
          </w:tcPr>
          <w:p w14:paraId="5B09B79B"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1ED59A0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Unaudited  30 June 2015</w:t>
            </w:r>
          </w:p>
        </w:tc>
        <w:tc>
          <w:tcPr>
            <w:tcW w:w="277" w:type="dxa"/>
            <w:tcBorders>
              <w:top w:val="nil"/>
              <w:left w:val="nil"/>
              <w:bottom w:val="nil"/>
              <w:right w:val="nil"/>
            </w:tcBorders>
            <w:shd w:val="clear" w:color="000000" w:fill="FFFFFF"/>
            <w:vAlign w:val="center"/>
            <w:hideMark/>
          </w:tcPr>
          <w:p w14:paraId="038243BA"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376CF9DB"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Audited 31 Dec 2015</w:t>
            </w:r>
          </w:p>
        </w:tc>
      </w:tr>
      <w:tr w:rsidR="00361FA6" w:rsidRPr="00361FA6" w14:paraId="1C19F506" w14:textId="77777777" w:rsidTr="00F032FF">
        <w:trPr>
          <w:trHeight w:val="240"/>
        </w:trPr>
        <w:tc>
          <w:tcPr>
            <w:tcW w:w="4336" w:type="dxa"/>
            <w:tcBorders>
              <w:top w:val="nil"/>
              <w:left w:val="nil"/>
              <w:bottom w:val="nil"/>
              <w:right w:val="nil"/>
            </w:tcBorders>
            <w:shd w:val="clear" w:color="000000" w:fill="FFFFFF"/>
            <w:noWrap/>
            <w:vAlign w:val="center"/>
            <w:hideMark/>
          </w:tcPr>
          <w:p w14:paraId="0220733B"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648" w:type="dxa"/>
            <w:tcBorders>
              <w:top w:val="nil"/>
              <w:left w:val="nil"/>
              <w:bottom w:val="nil"/>
              <w:right w:val="nil"/>
            </w:tcBorders>
            <w:shd w:val="clear" w:color="000000" w:fill="FFFFFF"/>
            <w:noWrap/>
            <w:vAlign w:val="center"/>
            <w:hideMark/>
          </w:tcPr>
          <w:p w14:paraId="31F1489F"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Notes</w:t>
            </w:r>
          </w:p>
        </w:tc>
        <w:tc>
          <w:tcPr>
            <w:tcW w:w="1472" w:type="dxa"/>
            <w:tcBorders>
              <w:top w:val="nil"/>
              <w:left w:val="nil"/>
              <w:bottom w:val="nil"/>
              <w:right w:val="nil"/>
            </w:tcBorders>
            <w:shd w:val="clear" w:color="000000" w:fill="FFFFFF"/>
            <w:noWrap/>
            <w:vAlign w:val="center"/>
            <w:hideMark/>
          </w:tcPr>
          <w:p w14:paraId="107BB95C"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£'000</w:t>
            </w:r>
          </w:p>
        </w:tc>
        <w:tc>
          <w:tcPr>
            <w:tcW w:w="277" w:type="dxa"/>
            <w:tcBorders>
              <w:top w:val="nil"/>
              <w:left w:val="nil"/>
              <w:bottom w:val="nil"/>
              <w:right w:val="nil"/>
            </w:tcBorders>
            <w:shd w:val="clear" w:color="000000" w:fill="FFFFFF"/>
            <w:noWrap/>
            <w:vAlign w:val="center"/>
            <w:hideMark/>
          </w:tcPr>
          <w:p w14:paraId="7582AE5F"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noWrap/>
            <w:vAlign w:val="center"/>
            <w:hideMark/>
          </w:tcPr>
          <w:p w14:paraId="31687C4E"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£'000</w:t>
            </w:r>
          </w:p>
        </w:tc>
        <w:tc>
          <w:tcPr>
            <w:tcW w:w="277" w:type="dxa"/>
            <w:tcBorders>
              <w:top w:val="nil"/>
              <w:left w:val="nil"/>
              <w:bottom w:val="nil"/>
              <w:right w:val="nil"/>
            </w:tcBorders>
            <w:shd w:val="clear" w:color="000000" w:fill="FFFFFF"/>
            <w:noWrap/>
            <w:vAlign w:val="center"/>
            <w:hideMark/>
          </w:tcPr>
          <w:p w14:paraId="107597AD"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noWrap/>
            <w:vAlign w:val="center"/>
            <w:hideMark/>
          </w:tcPr>
          <w:p w14:paraId="0A488B70"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£'000</w:t>
            </w:r>
          </w:p>
        </w:tc>
      </w:tr>
      <w:tr w:rsidR="00361FA6" w:rsidRPr="00361FA6" w14:paraId="2D673D28" w14:textId="77777777" w:rsidTr="00F032FF">
        <w:trPr>
          <w:trHeight w:val="240"/>
        </w:trPr>
        <w:tc>
          <w:tcPr>
            <w:tcW w:w="4336" w:type="dxa"/>
            <w:tcBorders>
              <w:top w:val="nil"/>
              <w:left w:val="nil"/>
              <w:bottom w:val="nil"/>
              <w:right w:val="nil"/>
            </w:tcBorders>
            <w:shd w:val="clear" w:color="000000" w:fill="FFFFFF"/>
            <w:noWrap/>
            <w:vAlign w:val="center"/>
            <w:hideMark/>
          </w:tcPr>
          <w:p w14:paraId="2AD99689"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Assets</w:t>
            </w:r>
          </w:p>
        </w:tc>
        <w:tc>
          <w:tcPr>
            <w:tcW w:w="648" w:type="dxa"/>
            <w:tcBorders>
              <w:top w:val="nil"/>
              <w:left w:val="nil"/>
              <w:bottom w:val="nil"/>
              <w:right w:val="nil"/>
            </w:tcBorders>
            <w:shd w:val="clear" w:color="000000" w:fill="FFFFFF"/>
            <w:noWrap/>
            <w:vAlign w:val="center"/>
            <w:hideMark/>
          </w:tcPr>
          <w:p w14:paraId="7870D7D0"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noWrap/>
            <w:vAlign w:val="center"/>
            <w:hideMark/>
          </w:tcPr>
          <w:p w14:paraId="1C1442CC"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noWrap/>
            <w:vAlign w:val="center"/>
            <w:hideMark/>
          </w:tcPr>
          <w:p w14:paraId="505345E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noWrap/>
            <w:vAlign w:val="center"/>
            <w:hideMark/>
          </w:tcPr>
          <w:p w14:paraId="25ACA44D"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noWrap/>
            <w:vAlign w:val="center"/>
            <w:hideMark/>
          </w:tcPr>
          <w:p w14:paraId="6B27F676"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noWrap/>
            <w:vAlign w:val="center"/>
            <w:hideMark/>
          </w:tcPr>
          <w:p w14:paraId="7726FA8F"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r>
      <w:tr w:rsidR="00361FA6" w:rsidRPr="00361FA6" w14:paraId="6C734C5B" w14:textId="77777777" w:rsidTr="00F032FF">
        <w:trPr>
          <w:trHeight w:val="240"/>
        </w:trPr>
        <w:tc>
          <w:tcPr>
            <w:tcW w:w="4336" w:type="dxa"/>
            <w:tcBorders>
              <w:top w:val="nil"/>
              <w:left w:val="nil"/>
              <w:bottom w:val="nil"/>
              <w:right w:val="nil"/>
            </w:tcBorders>
            <w:shd w:val="clear" w:color="000000" w:fill="FFFFFF"/>
            <w:noWrap/>
            <w:vAlign w:val="center"/>
            <w:hideMark/>
          </w:tcPr>
          <w:p w14:paraId="6CA1EF16"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Non-current assets</w:t>
            </w:r>
          </w:p>
        </w:tc>
        <w:tc>
          <w:tcPr>
            <w:tcW w:w="648" w:type="dxa"/>
            <w:tcBorders>
              <w:top w:val="nil"/>
              <w:left w:val="nil"/>
              <w:bottom w:val="nil"/>
              <w:right w:val="nil"/>
            </w:tcBorders>
            <w:shd w:val="clear" w:color="000000" w:fill="FFFFFF"/>
            <w:noWrap/>
            <w:vAlign w:val="center"/>
            <w:hideMark/>
          </w:tcPr>
          <w:p w14:paraId="1B5E0ABE"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noWrap/>
            <w:vAlign w:val="center"/>
            <w:hideMark/>
          </w:tcPr>
          <w:p w14:paraId="01CED64C"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noWrap/>
            <w:vAlign w:val="center"/>
            <w:hideMark/>
          </w:tcPr>
          <w:p w14:paraId="76FFC8B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noWrap/>
            <w:vAlign w:val="center"/>
            <w:hideMark/>
          </w:tcPr>
          <w:p w14:paraId="4DC4340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noWrap/>
            <w:vAlign w:val="center"/>
            <w:hideMark/>
          </w:tcPr>
          <w:p w14:paraId="7B0BF030"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noWrap/>
            <w:vAlign w:val="center"/>
            <w:hideMark/>
          </w:tcPr>
          <w:p w14:paraId="140A5BE0"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r>
      <w:tr w:rsidR="00361FA6" w:rsidRPr="00361FA6" w14:paraId="6FFC2D0D" w14:textId="77777777" w:rsidTr="00F032FF">
        <w:trPr>
          <w:trHeight w:val="240"/>
        </w:trPr>
        <w:tc>
          <w:tcPr>
            <w:tcW w:w="4336" w:type="dxa"/>
            <w:tcBorders>
              <w:top w:val="nil"/>
              <w:left w:val="nil"/>
              <w:bottom w:val="nil"/>
              <w:right w:val="nil"/>
            </w:tcBorders>
            <w:shd w:val="clear" w:color="000000" w:fill="FFFFFF"/>
            <w:noWrap/>
            <w:vAlign w:val="center"/>
            <w:hideMark/>
          </w:tcPr>
          <w:p w14:paraId="1E4530CD"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Intangible</w:t>
            </w:r>
            <w:r w:rsidR="00BB13BD">
              <w:rPr>
                <w:rFonts w:ascii="Calibri" w:hAnsi="Calibri" w:cs="Arial"/>
                <w:szCs w:val="18"/>
                <w:lang w:eastAsia="en-GB"/>
              </w:rPr>
              <w:t xml:space="preserve"> assets</w:t>
            </w:r>
          </w:p>
        </w:tc>
        <w:tc>
          <w:tcPr>
            <w:tcW w:w="648" w:type="dxa"/>
            <w:tcBorders>
              <w:top w:val="nil"/>
              <w:left w:val="nil"/>
              <w:bottom w:val="nil"/>
              <w:right w:val="nil"/>
            </w:tcBorders>
            <w:shd w:val="clear" w:color="000000" w:fill="FFFFFF"/>
            <w:noWrap/>
            <w:vAlign w:val="center"/>
            <w:hideMark/>
          </w:tcPr>
          <w:p w14:paraId="5F6DF81F" w14:textId="77777777" w:rsidR="00361FA6" w:rsidRPr="00361FA6" w:rsidRDefault="003105FC" w:rsidP="00361FA6">
            <w:pPr>
              <w:spacing w:after="0"/>
              <w:jc w:val="center"/>
              <w:rPr>
                <w:rFonts w:ascii="Calibri" w:hAnsi="Calibri" w:cs="Arial"/>
                <w:szCs w:val="18"/>
                <w:lang w:eastAsia="en-GB"/>
              </w:rPr>
            </w:pPr>
            <w:r>
              <w:rPr>
                <w:rFonts w:ascii="Calibri" w:hAnsi="Calibri" w:cs="Arial"/>
                <w:szCs w:val="18"/>
                <w:lang w:eastAsia="en-GB"/>
              </w:rPr>
              <w:t xml:space="preserve">6, </w:t>
            </w:r>
            <w:r w:rsidR="002E5130">
              <w:rPr>
                <w:rFonts w:ascii="Calibri" w:hAnsi="Calibri" w:cs="Arial"/>
                <w:szCs w:val="18"/>
                <w:lang w:eastAsia="en-GB"/>
              </w:rPr>
              <w:t>7</w:t>
            </w:r>
          </w:p>
        </w:tc>
        <w:tc>
          <w:tcPr>
            <w:tcW w:w="1472" w:type="dxa"/>
            <w:tcBorders>
              <w:top w:val="nil"/>
              <w:left w:val="nil"/>
              <w:bottom w:val="nil"/>
              <w:right w:val="nil"/>
            </w:tcBorders>
            <w:shd w:val="clear" w:color="000000" w:fill="FFFFFF"/>
            <w:vAlign w:val="center"/>
            <w:hideMark/>
          </w:tcPr>
          <w:p w14:paraId="18D49A53"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2,025 </w:t>
            </w:r>
          </w:p>
        </w:tc>
        <w:tc>
          <w:tcPr>
            <w:tcW w:w="277" w:type="dxa"/>
            <w:tcBorders>
              <w:top w:val="nil"/>
              <w:left w:val="nil"/>
              <w:bottom w:val="nil"/>
              <w:right w:val="nil"/>
            </w:tcBorders>
            <w:shd w:val="clear" w:color="000000" w:fill="FFFFFF"/>
            <w:vAlign w:val="center"/>
            <w:hideMark/>
          </w:tcPr>
          <w:p w14:paraId="2F312C8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0C872B9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369 </w:t>
            </w:r>
          </w:p>
        </w:tc>
        <w:tc>
          <w:tcPr>
            <w:tcW w:w="277" w:type="dxa"/>
            <w:tcBorders>
              <w:top w:val="nil"/>
              <w:left w:val="nil"/>
              <w:bottom w:val="nil"/>
              <w:right w:val="nil"/>
            </w:tcBorders>
            <w:shd w:val="clear" w:color="000000" w:fill="FFFFFF"/>
            <w:vAlign w:val="center"/>
            <w:hideMark/>
          </w:tcPr>
          <w:p w14:paraId="389FF7D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6BF34DC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416 </w:t>
            </w:r>
          </w:p>
        </w:tc>
      </w:tr>
      <w:tr w:rsidR="00361FA6" w:rsidRPr="00361FA6" w14:paraId="1DDD1126" w14:textId="77777777" w:rsidTr="00F032FF">
        <w:trPr>
          <w:trHeight w:val="240"/>
        </w:trPr>
        <w:tc>
          <w:tcPr>
            <w:tcW w:w="4336" w:type="dxa"/>
            <w:tcBorders>
              <w:top w:val="nil"/>
              <w:left w:val="nil"/>
              <w:bottom w:val="nil"/>
              <w:right w:val="nil"/>
            </w:tcBorders>
            <w:shd w:val="clear" w:color="000000" w:fill="FFFFFF"/>
            <w:noWrap/>
            <w:vAlign w:val="center"/>
            <w:hideMark/>
          </w:tcPr>
          <w:p w14:paraId="3859308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Property, plant and equipment</w:t>
            </w:r>
          </w:p>
        </w:tc>
        <w:tc>
          <w:tcPr>
            <w:tcW w:w="648" w:type="dxa"/>
            <w:tcBorders>
              <w:top w:val="nil"/>
              <w:left w:val="nil"/>
              <w:bottom w:val="nil"/>
              <w:right w:val="nil"/>
            </w:tcBorders>
            <w:shd w:val="clear" w:color="000000" w:fill="FFFFFF"/>
            <w:noWrap/>
            <w:vAlign w:val="center"/>
            <w:hideMark/>
          </w:tcPr>
          <w:p w14:paraId="50A6842D"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1F299ED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619 </w:t>
            </w:r>
          </w:p>
        </w:tc>
        <w:tc>
          <w:tcPr>
            <w:tcW w:w="277" w:type="dxa"/>
            <w:tcBorders>
              <w:top w:val="nil"/>
              <w:left w:val="nil"/>
              <w:bottom w:val="nil"/>
              <w:right w:val="nil"/>
            </w:tcBorders>
            <w:shd w:val="clear" w:color="000000" w:fill="FFFFFF"/>
            <w:vAlign w:val="center"/>
            <w:hideMark/>
          </w:tcPr>
          <w:p w14:paraId="1ABF9EE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4400D5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803 </w:t>
            </w:r>
          </w:p>
        </w:tc>
        <w:tc>
          <w:tcPr>
            <w:tcW w:w="277" w:type="dxa"/>
            <w:tcBorders>
              <w:top w:val="nil"/>
              <w:left w:val="nil"/>
              <w:bottom w:val="nil"/>
              <w:right w:val="nil"/>
            </w:tcBorders>
            <w:shd w:val="clear" w:color="000000" w:fill="FFFFFF"/>
            <w:vAlign w:val="center"/>
            <w:hideMark/>
          </w:tcPr>
          <w:p w14:paraId="684C7B0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59188CC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704 </w:t>
            </w:r>
          </w:p>
        </w:tc>
      </w:tr>
      <w:tr w:rsidR="00361FA6" w:rsidRPr="00361FA6" w14:paraId="72CA9ADA" w14:textId="77777777" w:rsidTr="00F032FF">
        <w:trPr>
          <w:trHeight w:val="240"/>
        </w:trPr>
        <w:tc>
          <w:tcPr>
            <w:tcW w:w="4336" w:type="dxa"/>
            <w:tcBorders>
              <w:top w:val="nil"/>
              <w:left w:val="nil"/>
              <w:bottom w:val="nil"/>
              <w:right w:val="nil"/>
            </w:tcBorders>
            <w:shd w:val="clear" w:color="000000" w:fill="FFFFFF"/>
            <w:noWrap/>
            <w:vAlign w:val="center"/>
            <w:hideMark/>
          </w:tcPr>
          <w:p w14:paraId="44E79F65"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Investments in associate</w:t>
            </w:r>
          </w:p>
        </w:tc>
        <w:tc>
          <w:tcPr>
            <w:tcW w:w="648" w:type="dxa"/>
            <w:tcBorders>
              <w:top w:val="nil"/>
              <w:left w:val="nil"/>
              <w:bottom w:val="nil"/>
              <w:right w:val="nil"/>
            </w:tcBorders>
            <w:shd w:val="clear" w:color="000000" w:fill="FFFFFF"/>
            <w:noWrap/>
            <w:vAlign w:val="center"/>
            <w:hideMark/>
          </w:tcPr>
          <w:p w14:paraId="04DAAF33" w14:textId="77777777" w:rsidR="00361FA6" w:rsidRPr="00361FA6" w:rsidRDefault="003105FC" w:rsidP="00361FA6">
            <w:pPr>
              <w:spacing w:after="0"/>
              <w:jc w:val="center"/>
              <w:rPr>
                <w:rFonts w:ascii="Calibri" w:hAnsi="Calibri" w:cs="Arial"/>
                <w:szCs w:val="18"/>
                <w:lang w:eastAsia="en-GB"/>
              </w:rPr>
            </w:pPr>
            <w:r>
              <w:rPr>
                <w:rFonts w:ascii="Calibri" w:hAnsi="Calibri" w:cs="Arial"/>
                <w:szCs w:val="18"/>
                <w:lang w:eastAsia="en-GB"/>
              </w:rPr>
              <w:t>8</w:t>
            </w:r>
          </w:p>
        </w:tc>
        <w:tc>
          <w:tcPr>
            <w:tcW w:w="1472" w:type="dxa"/>
            <w:tcBorders>
              <w:top w:val="nil"/>
              <w:left w:val="nil"/>
              <w:bottom w:val="nil"/>
              <w:right w:val="nil"/>
            </w:tcBorders>
            <w:shd w:val="clear" w:color="000000" w:fill="FFFFFF"/>
            <w:vAlign w:val="center"/>
            <w:hideMark/>
          </w:tcPr>
          <w:p w14:paraId="547FF245"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  </w:t>
            </w:r>
          </w:p>
        </w:tc>
        <w:tc>
          <w:tcPr>
            <w:tcW w:w="277" w:type="dxa"/>
            <w:tcBorders>
              <w:top w:val="nil"/>
              <w:left w:val="nil"/>
              <w:bottom w:val="nil"/>
              <w:right w:val="nil"/>
            </w:tcBorders>
            <w:shd w:val="clear" w:color="000000" w:fill="FFFFFF"/>
            <w:vAlign w:val="center"/>
            <w:hideMark/>
          </w:tcPr>
          <w:p w14:paraId="4B7E2A7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230ED0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1,868 </w:t>
            </w:r>
          </w:p>
        </w:tc>
        <w:tc>
          <w:tcPr>
            <w:tcW w:w="277" w:type="dxa"/>
            <w:tcBorders>
              <w:top w:val="nil"/>
              <w:left w:val="nil"/>
              <w:bottom w:val="nil"/>
              <w:right w:val="nil"/>
            </w:tcBorders>
            <w:shd w:val="clear" w:color="000000" w:fill="FFFFFF"/>
            <w:vAlign w:val="center"/>
            <w:hideMark/>
          </w:tcPr>
          <w:p w14:paraId="6A02FE4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0FE22C4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r>
      <w:tr w:rsidR="00361FA6" w:rsidRPr="00361FA6" w14:paraId="53955F3C" w14:textId="77777777" w:rsidTr="00F032FF">
        <w:trPr>
          <w:trHeight w:val="240"/>
        </w:trPr>
        <w:tc>
          <w:tcPr>
            <w:tcW w:w="4336" w:type="dxa"/>
            <w:tcBorders>
              <w:top w:val="nil"/>
              <w:left w:val="nil"/>
              <w:bottom w:val="nil"/>
              <w:right w:val="nil"/>
            </w:tcBorders>
            <w:shd w:val="clear" w:color="000000" w:fill="FFFFFF"/>
            <w:noWrap/>
            <w:vAlign w:val="center"/>
            <w:hideMark/>
          </w:tcPr>
          <w:p w14:paraId="61A39A53"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648" w:type="dxa"/>
            <w:tcBorders>
              <w:top w:val="nil"/>
              <w:left w:val="nil"/>
              <w:bottom w:val="nil"/>
              <w:right w:val="nil"/>
            </w:tcBorders>
            <w:shd w:val="clear" w:color="000000" w:fill="FFFFFF"/>
            <w:noWrap/>
            <w:vAlign w:val="center"/>
            <w:hideMark/>
          </w:tcPr>
          <w:p w14:paraId="5C64492D"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single" w:sz="4" w:space="0" w:color="auto"/>
              <w:left w:val="nil"/>
              <w:bottom w:val="single" w:sz="4" w:space="0" w:color="auto"/>
              <w:right w:val="nil"/>
            </w:tcBorders>
            <w:shd w:val="clear" w:color="000000" w:fill="FFFFFF"/>
            <w:vAlign w:val="center"/>
            <w:hideMark/>
          </w:tcPr>
          <w:p w14:paraId="0E583A30"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2,644 </w:t>
            </w:r>
          </w:p>
        </w:tc>
        <w:tc>
          <w:tcPr>
            <w:tcW w:w="277" w:type="dxa"/>
            <w:tcBorders>
              <w:top w:val="nil"/>
              <w:left w:val="nil"/>
              <w:bottom w:val="nil"/>
              <w:right w:val="nil"/>
            </w:tcBorders>
            <w:shd w:val="clear" w:color="000000" w:fill="FFFFFF"/>
            <w:vAlign w:val="center"/>
            <w:hideMark/>
          </w:tcPr>
          <w:p w14:paraId="69BCFA0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single" w:sz="4" w:space="0" w:color="auto"/>
              <w:left w:val="nil"/>
              <w:bottom w:val="single" w:sz="4" w:space="0" w:color="auto"/>
              <w:right w:val="nil"/>
            </w:tcBorders>
            <w:shd w:val="clear" w:color="000000" w:fill="FFFFFF"/>
            <w:vAlign w:val="center"/>
            <w:hideMark/>
          </w:tcPr>
          <w:p w14:paraId="11D1FB4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3,041 </w:t>
            </w:r>
          </w:p>
        </w:tc>
        <w:tc>
          <w:tcPr>
            <w:tcW w:w="277" w:type="dxa"/>
            <w:tcBorders>
              <w:top w:val="nil"/>
              <w:left w:val="nil"/>
              <w:bottom w:val="nil"/>
              <w:right w:val="nil"/>
            </w:tcBorders>
            <w:shd w:val="clear" w:color="000000" w:fill="FFFFFF"/>
            <w:vAlign w:val="center"/>
            <w:hideMark/>
          </w:tcPr>
          <w:p w14:paraId="3FA08C0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single" w:sz="4" w:space="0" w:color="auto"/>
              <w:left w:val="nil"/>
              <w:bottom w:val="single" w:sz="4" w:space="0" w:color="auto"/>
              <w:right w:val="nil"/>
            </w:tcBorders>
            <w:shd w:val="clear" w:color="000000" w:fill="FFFFFF"/>
            <w:vAlign w:val="center"/>
            <w:hideMark/>
          </w:tcPr>
          <w:p w14:paraId="0D2806B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1,120 </w:t>
            </w:r>
          </w:p>
        </w:tc>
      </w:tr>
      <w:tr w:rsidR="00361FA6" w:rsidRPr="00361FA6" w14:paraId="6FA34A5C" w14:textId="77777777" w:rsidTr="00F032FF">
        <w:trPr>
          <w:trHeight w:val="240"/>
        </w:trPr>
        <w:tc>
          <w:tcPr>
            <w:tcW w:w="4336" w:type="dxa"/>
            <w:tcBorders>
              <w:top w:val="nil"/>
              <w:left w:val="nil"/>
              <w:bottom w:val="nil"/>
              <w:right w:val="nil"/>
            </w:tcBorders>
            <w:shd w:val="clear" w:color="000000" w:fill="FFFFFF"/>
            <w:noWrap/>
            <w:vAlign w:val="center"/>
            <w:hideMark/>
          </w:tcPr>
          <w:p w14:paraId="24735DB6"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Current assets</w:t>
            </w:r>
          </w:p>
        </w:tc>
        <w:tc>
          <w:tcPr>
            <w:tcW w:w="648" w:type="dxa"/>
            <w:tcBorders>
              <w:top w:val="nil"/>
              <w:left w:val="nil"/>
              <w:bottom w:val="nil"/>
              <w:right w:val="nil"/>
            </w:tcBorders>
            <w:shd w:val="clear" w:color="000000" w:fill="FFFFFF"/>
            <w:noWrap/>
            <w:vAlign w:val="center"/>
            <w:hideMark/>
          </w:tcPr>
          <w:p w14:paraId="78DECB95"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16350360"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vAlign w:val="center"/>
            <w:hideMark/>
          </w:tcPr>
          <w:p w14:paraId="0ACF314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9A120A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vAlign w:val="center"/>
            <w:hideMark/>
          </w:tcPr>
          <w:p w14:paraId="456E1CD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2C55B8E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7B128822" w14:textId="77777777" w:rsidTr="00F032FF">
        <w:trPr>
          <w:trHeight w:val="240"/>
        </w:trPr>
        <w:tc>
          <w:tcPr>
            <w:tcW w:w="4336" w:type="dxa"/>
            <w:tcBorders>
              <w:top w:val="nil"/>
              <w:left w:val="nil"/>
              <w:bottom w:val="nil"/>
              <w:right w:val="nil"/>
            </w:tcBorders>
            <w:shd w:val="clear" w:color="000000" w:fill="FFFFFF"/>
            <w:noWrap/>
            <w:vAlign w:val="center"/>
            <w:hideMark/>
          </w:tcPr>
          <w:p w14:paraId="6668A075"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Inventory: work-in-progress</w:t>
            </w:r>
          </w:p>
        </w:tc>
        <w:tc>
          <w:tcPr>
            <w:tcW w:w="648" w:type="dxa"/>
            <w:tcBorders>
              <w:top w:val="nil"/>
              <w:left w:val="nil"/>
              <w:bottom w:val="nil"/>
              <w:right w:val="nil"/>
            </w:tcBorders>
            <w:shd w:val="clear" w:color="000000" w:fill="FFFFFF"/>
            <w:noWrap/>
            <w:vAlign w:val="center"/>
            <w:hideMark/>
          </w:tcPr>
          <w:p w14:paraId="56E09E37"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02228B8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172 </w:t>
            </w:r>
          </w:p>
        </w:tc>
        <w:tc>
          <w:tcPr>
            <w:tcW w:w="277" w:type="dxa"/>
            <w:tcBorders>
              <w:top w:val="nil"/>
              <w:left w:val="nil"/>
              <w:bottom w:val="nil"/>
              <w:right w:val="nil"/>
            </w:tcBorders>
            <w:shd w:val="clear" w:color="000000" w:fill="FFFFFF"/>
            <w:vAlign w:val="center"/>
            <w:hideMark/>
          </w:tcPr>
          <w:p w14:paraId="024FBB4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7D112C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41 </w:t>
            </w:r>
          </w:p>
        </w:tc>
        <w:tc>
          <w:tcPr>
            <w:tcW w:w="277" w:type="dxa"/>
            <w:tcBorders>
              <w:top w:val="nil"/>
              <w:left w:val="nil"/>
              <w:bottom w:val="nil"/>
              <w:right w:val="nil"/>
            </w:tcBorders>
            <w:shd w:val="clear" w:color="000000" w:fill="FFFFFF"/>
            <w:vAlign w:val="center"/>
            <w:hideMark/>
          </w:tcPr>
          <w:p w14:paraId="3AC92CC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52C8C3F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62 </w:t>
            </w:r>
          </w:p>
        </w:tc>
      </w:tr>
      <w:tr w:rsidR="00361FA6" w:rsidRPr="00361FA6" w14:paraId="1DCFF64A" w14:textId="77777777" w:rsidTr="00F032FF">
        <w:trPr>
          <w:trHeight w:val="240"/>
        </w:trPr>
        <w:tc>
          <w:tcPr>
            <w:tcW w:w="4336" w:type="dxa"/>
            <w:tcBorders>
              <w:top w:val="nil"/>
              <w:left w:val="nil"/>
              <w:bottom w:val="nil"/>
              <w:right w:val="nil"/>
            </w:tcBorders>
            <w:shd w:val="clear" w:color="000000" w:fill="FFFFFF"/>
            <w:noWrap/>
            <w:vAlign w:val="center"/>
            <w:hideMark/>
          </w:tcPr>
          <w:p w14:paraId="10FD836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Trade and other receivables</w:t>
            </w:r>
          </w:p>
        </w:tc>
        <w:tc>
          <w:tcPr>
            <w:tcW w:w="648" w:type="dxa"/>
            <w:tcBorders>
              <w:top w:val="nil"/>
              <w:left w:val="nil"/>
              <w:bottom w:val="nil"/>
              <w:right w:val="nil"/>
            </w:tcBorders>
            <w:shd w:val="clear" w:color="000000" w:fill="FFFFFF"/>
            <w:noWrap/>
            <w:vAlign w:val="center"/>
            <w:hideMark/>
          </w:tcPr>
          <w:p w14:paraId="68A6D46B"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632FEA1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4,730 </w:t>
            </w:r>
          </w:p>
        </w:tc>
        <w:tc>
          <w:tcPr>
            <w:tcW w:w="277" w:type="dxa"/>
            <w:tcBorders>
              <w:top w:val="nil"/>
              <w:left w:val="nil"/>
              <w:bottom w:val="nil"/>
              <w:right w:val="nil"/>
            </w:tcBorders>
            <w:shd w:val="clear" w:color="000000" w:fill="FFFFFF"/>
            <w:vAlign w:val="center"/>
            <w:hideMark/>
          </w:tcPr>
          <w:p w14:paraId="4033FFF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25EFACD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4,392 </w:t>
            </w:r>
          </w:p>
        </w:tc>
        <w:tc>
          <w:tcPr>
            <w:tcW w:w="277" w:type="dxa"/>
            <w:tcBorders>
              <w:top w:val="nil"/>
              <w:left w:val="nil"/>
              <w:bottom w:val="nil"/>
              <w:right w:val="nil"/>
            </w:tcBorders>
            <w:shd w:val="clear" w:color="000000" w:fill="FFFFFF"/>
            <w:vAlign w:val="center"/>
            <w:hideMark/>
          </w:tcPr>
          <w:p w14:paraId="76C7064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4C48BEE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4,502 </w:t>
            </w:r>
          </w:p>
        </w:tc>
      </w:tr>
      <w:tr w:rsidR="00361FA6" w:rsidRPr="00361FA6" w14:paraId="3EA378D4" w14:textId="77777777" w:rsidTr="00F032FF">
        <w:trPr>
          <w:trHeight w:val="240"/>
        </w:trPr>
        <w:tc>
          <w:tcPr>
            <w:tcW w:w="4336" w:type="dxa"/>
            <w:tcBorders>
              <w:top w:val="nil"/>
              <w:left w:val="nil"/>
              <w:bottom w:val="nil"/>
              <w:right w:val="nil"/>
            </w:tcBorders>
            <w:shd w:val="clear" w:color="000000" w:fill="FFFFFF"/>
            <w:noWrap/>
            <w:vAlign w:val="center"/>
            <w:hideMark/>
          </w:tcPr>
          <w:p w14:paraId="4E2836F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Cash and cash equivalents</w:t>
            </w:r>
          </w:p>
        </w:tc>
        <w:tc>
          <w:tcPr>
            <w:tcW w:w="648" w:type="dxa"/>
            <w:tcBorders>
              <w:top w:val="nil"/>
              <w:left w:val="nil"/>
              <w:bottom w:val="nil"/>
              <w:right w:val="nil"/>
            </w:tcBorders>
            <w:shd w:val="clear" w:color="000000" w:fill="FFFFFF"/>
            <w:noWrap/>
            <w:vAlign w:val="center"/>
            <w:hideMark/>
          </w:tcPr>
          <w:p w14:paraId="77D1A9DF"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416ED1CA"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1,108 </w:t>
            </w:r>
          </w:p>
        </w:tc>
        <w:tc>
          <w:tcPr>
            <w:tcW w:w="277" w:type="dxa"/>
            <w:tcBorders>
              <w:top w:val="nil"/>
              <w:left w:val="nil"/>
              <w:bottom w:val="nil"/>
              <w:right w:val="nil"/>
            </w:tcBorders>
            <w:shd w:val="clear" w:color="000000" w:fill="FFFFFF"/>
            <w:vAlign w:val="center"/>
            <w:hideMark/>
          </w:tcPr>
          <w:p w14:paraId="5372FCF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7D5E52C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2,471 </w:t>
            </w:r>
          </w:p>
        </w:tc>
        <w:tc>
          <w:tcPr>
            <w:tcW w:w="277" w:type="dxa"/>
            <w:tcBorders>
              <w:top w:val="nil"/>
              <w:left w:val="nil"/>
              <w:bottom w:val="nil"/>
              <w:right w:val="nil"/>
            </w:tcBorders>
            <w:shd w:val="clear" w:color="000000" w:fill="FFFFFF"/>
            <w:vAlign w:val="center"/>
            <w:hideMark/>
          </w:tcPr>
          <w:p w14:paraId="2699D8E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7724176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1,656 </w:t>
            </w:r>
          </w:p>
        </w:tc>
      </w:tr>
      <w:tr w:rsidR="00361FA6" w:rsidRPr="00361FA6" w14:paraId="1E51C57E" w14:textId="77777777" w:rsidTr="00F032FF">
        <w:trPr>
          <w:trHeight w:val="240"/>
        </w:trPr>
        <w:tc>
          <w:tcPr>
            <w:tcW w:w="4336" w:type="dxa"/>
            <w:tcBorders>
              <w:top w:val="nil"/>
              <w:left w:val="nil"/>
              <w:bottom w:val="nil"/>
              <w:right w:val="nil"/>
            </w:tcBorders>
            <w:shd w:val="clear" w:color="000000" w:fill="FFFFFF"/>
            <w:noWrap/>
            <w:vAlign w:val="center"/>
            <w:hideMark/>
          </w:tcPr>
          <w:p w14:paraId="205F3AC1"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648" w:type="dxa"/>
            <w:tcBorders>
              <w:top w:val="nil"/>
              <w:left w:val="nil"/>
              <w:bottom w:val="nil"/>
              <w:right w:val="nil"/>
            </w:tcBorders>
            <w:shd w:val="clear" w:color="000000" w:fill="FFFFFF"/>
            <w:noWrap/>
            <w:vAlign w:val="center"/>
            <w:hideMark/>
          </w:tcPr>
          <w:p w14:paraId="005DBA82"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single" w:sz="4" w:space="0" w:color="auto"/>
              <w:left w:val="nil"/>
              <w:bottom w:val="single" w:sz="4" w:space="0" w:color="auto"/>
              <w:right w:val="nil"/>
            </w:tcBorders>
            <w:shd w:val="clear" w:color="000000" w:fill="FFFFFF"/>
            <w:vAlign w:val="center"/>
            <w:hideMark/>
          </w:tcPr>
          <w:p w14:paraId="26C8D02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6,010 </w:t>
            </w:r>
          </w:p>
        </w:tc>
        <w:tc>
          <w:tcPr>
            <w:tcW w:w="277" w:type="dxa"/>
            <w:tcBorders>
              <w:top w:val="nil"/>
              <w:left w:val="nil"/>
              <w:bottom w:val="nil"/>
              <w:right w:val="nil"/>
            </w:tcBorders>
            <w:shd w:val="clear" w:color="000000" w:fill="FFFFFF"/>
            <w:vAlign w:val="center"/>
            <w:hideMark/>
          </w:tcPr>
          <w:p w14:paraId="00E5B06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single" w:sz="4" w:space="0" w:color="auto"/>
              <w:left w:val="nil"/>
              <w:bottom w:val="single" w:sz="4" w:space="0" w:color="auto"/>
              <w:right w:val="nil"/>
            </w:tcBorders>
            <w:shd w:val="clear" w:color="000000" w:fill="FFFFFF"/>
            <w:vAlign w:val="center"/>
            <w:hideMark/>
          </w:tcPr>
          <w:p w14:paraId="06AE021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6,903 </w:t>
            </w:r>
          </w:p>
        </w:tc>
        <w:tc>
          <w:tcPr>
            <w:tcW w:w="277" w:type="dxa"/>
            <w:tcBorders>
              <w:top w:val="nil"/>
              <w:left w:val="nil"/>
              <w:bottom w:val="nil"/>
              <w:right w:val="nil"/>
            </w:tcBorders>
            <w:shd w:val="clear" w:color="000000" w:fill="FFFFFF"/>
            <w:vAlign w:val="center"/>
            <w:hideMark/>
          </w:tcPr>
          <w:p w14:paraId="5C92100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single" w:sz="4" w:space="0" w:color="auto"/>
              <w:left w:val="nil"/>
              <w:bottom w:val="single" w:sz="4" w:space="0" w:color="auto"/>
              <w:right w:val="nil"/>
            </w:tcBorders>
            <w:shd w:val="clear" w:color="000000" w:fill="FFFFFF"/>
            <w:vAlign w:val="center"/>
            <w:hideMark/>
          </w:tcPr>
          <w:p w14:paraId="6A7ED22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6,219 </w:t>
            </w:r>
          </w:p>
        </w:tc>
      </w:tr>
      <w:tr w:rsidR="00361FA6" w:rsidRPr="00361FA6" w14:paraId="1616B80C" w14:textId="77777777" w:rsidTr="00F032FF">
        <w:trPr>
          <w:trHeight w:val="240"/>
        </w:trPr>
        <w:tc>
          <w:tcPr>
            <w:tcW w:w="4336" w:type="dxa"/>
            <w:tcBorders>
              <w:top w:val="nil"/>
              <w:left w:val="nil"/>
              <w:bottom w:val="nil"/>
              <w:right w:val="nil"/>
            </w:tcBorders>
            <w:shd w:val="clear" w:color="000000" w:fill="FFFFFF"/>
            <w:noWrap/>
            <w:vAlign w:val="center"/>
            <w:hideMark/>
          </w:tcPr>
          <w:p w14:paraId="42122EA4"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Total assets</w:t>
            </w:r>
          </w:p>
        </w:tc>
        <w:tc>
          <w:tcPr>
            <w:tcW w:w="648" w:type="dxa"/>
            <w:tcBorders>
              <w:top w:val="nil"/>
              <w:left w:val="nil"/>
              <w:bottom w:val="nil"/>
              <w:right w:val="nil"/>
            </w:tcBorders>
            <w:shd w:val="clear" w:color="000000" w:fill="FFFFFF"/>
            <w:noWrap/>
            <w:vAlign w:val="center"/>
            <w:hideMark/>
          </w:tcPr>
          <w:p w14:paraId="4E942870"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single" w:sz="4" w:space="0" w:color="auto"/>
              <w:right w:val="nil"/>
            </w:tcBorders>
            <w:shd w:val="clear" w:color="000000" w:fill="FFFFFF"/>
            <w:vAlign w:val="center"/>
            <w:hideMark/>
          </w:tcPr>
          <w:p w14:paraId="24E028E1"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8,654 </w:t>
            </w:r>
          </w:p>
        </w:tc>
        <w:tc>
          <w:tcPr>
            <w:tcW w:w="277" w:type="dxa"/>
            <w:tcBorders>
              <w:top w:val="nil"/>
              <w:left w:val="nil"/>
              <w:bottom w:val="nil"/>
              <w:right w:val="nil"/>
            </w:tcBorders>
            <w:shd w:val="clear" w:color="000000" w:fill="FFFFFF"/>
            <w:vAlign w:val="center"/>
            <w:hideMark/>
          </w:tcPr>
          <w:p w14:paraId="468D118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single" w:sz="4" w:space="0" w:color="auto"/>
              <w:right w:val="nil"/>
            </w:tcBorders>
            <w:shd w:val="clear" w:color="000000" w:fill="FFFFFF"/>
            <w:vAlign w:val="center"/>
            <w:hideMark/>
          </w:tcPr>
          <w:p w14:paraId="2CE7824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9,944 </w:t>
            </w:r>
          </w:p>
        </w:tc>
        <w:tc>
          <w:tcPr>
            <w:tcW w:w="277" w:type="dxa"/>
            <w:tcBorders>
              <w:top w:val="nil"/>
              <w:left w:val="nil"/>
              <w:bottom w:val="nil"/>
              <w:right w:val="nil"/>
            </w:tcBorders>
            <w:shd w:val="clear" w:color="000000" w:fill="FFFFFF"/>
            <w:vAlign w:val="center"/>
            <w:hideMark/>
          </w:tcPr>
          <w:p w14:paraId="487DA3C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single" w:sz="4" w:space="0" w:color="auto"/>
              <w:right w:val="nil"/>
            </w:tcBorders>
            <w:shd w:val="clear" w:color="000000" w:fill="FFFFFF"/>
            <w:vAlign w:val="center"/>
            <w:hideMark/>
          </w:tcPr>
          <w:p w14:paraId="1700D5C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7,339 </w:t>
            </w:r>
          </w:p>
        </w:tc>
      </w:tr>
      <w:tr w:rsidR="00361FA6" w:rsidRPr="00361FA6" w14:paraId="0F7A79A2" w14:textId="77777777" w:rsidTr="00F032FF">
        <w:trPr>
          <w:trHeight w:val="240"/>
        </w:trPr>
        <w:tc>
          <w:tcPr>
            <w:tcW w:w="4336" w:type="dxa"/>
            <w:tcBorders>
              <w:top w:val="nil"/>
              <w:left w:val="nil"/>
              <w:bottom w:val="nil"/>
              <w:right w:val="nil"/>
            </w:tcBorders>
            <w:shd w:val="clear" w:color="000000" w:fill="FFFFFF"/>
            <w:noWrap/>
            <w:vAlign w:val="center"/>
            <w:hideMark/>
          </w:tcPr>
          <w:p w14:paraId="009F5C09"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Current liabilities</w:t>
            </w:r>
          </w:p>
        </w:tc>
        <w:tc>
          <w:tcPr>
            <w:tcW w:w="648" w:type="dxa"/>
            <w:tcBorders>
              <w:top w:val="nil"/>
              <w:left w:val="nil"/>
              <w:bottom w:val="nil"/>
              <w:right w:val="nil"/>
            </w:tcBorders>
            <w:shd w:val="clear" w:color="000000" w:fill="FFFFFF"/>
            <w:noWrap/>
            <w:vAlign w:val="center"/>
            <w:hideMark/>
          </w:tcPr>
          <w:p w14:paraId="7C9A772B"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4CDAABC6"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vAlign w:val="center"/>
            <w:hideMark/>
          </w:tcPr>
          <w:p w14:paraId="7BFCB9B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296EC70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vAlign w:val="center"/>
            <w:hideMark/>
          </w:tcPr>
          <w:p w14:paraId="19D62E1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48B2D3F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69BA45C2" w14:textId="77777777" w:rsidTr="00F032FF">
        <w:trPr>
          <w:trHeight w:val="240"/>
        </w:trPr>
        <w:tc>
          <w:tcPr>
            <w:tcW w:w="4336" w:type="dxa"/>
            <w:tcBorders>
              <w:top w:val="nil"/>
              <w:left w:val="nil"/>
              <w:bottom w:val="nil"/>
              <w:right w:val="nil"/>
            </w:tcBorders>
            <w:shd w:val="clear" w:color="000000" w:fill="FFFFFF"/>
            <w:noWrap/>
            <w:vAlign w:val="center"/>
            <w:hideMark/>
          </w:tcPr>
          <w:p w14:paraId="6898F997"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Trade and other payables</w:t>
            </w:r>
          </w:p>
        </w:tc>
        <w:tc>
          <w:tcPr>
            <w:tcW w:w="648" w:type="dxa"/>
            <w:tcBorders>
              <w:top w:val="nil"/>
              <w:left w:val="nil"/>
              <w:bottom w:val="nil"/>
              <w:right w:val="nil"/>
            </w:tcBorders>
            <w:shd w:val="clear" w:color="000000" w:fill="FFFFFF"/>
            <w:noWrap/>
            <w:vAlign w:val="center"/>
            <w:hideMark/>
          </w:tcPr>
          <w:p w14:paraId="4FAC0978"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15F424DA"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(6,532)</w:t>
            </w:r>
          </w:p>
        </w:tc>
        <w:tc>
          <w:tcPr>
            <w:tcW w:w="277" w:type="dxa"/>
            <w:tcBorders>
              <w:top w:val="nil"/>
              <w:left w:val="nil"/>
              <w:bottom w:val="nil"/>
              <w:right w:val="nil"/>
            </w:tcBorders>
            <w:shd w:val="clear" w:color="000000" w:fill="FFFFFF"/>
            <w:vAlign w:val="center"/>
            <w:hideMark/>
          </w:tcPr>
          <w:p w14:paraId="5236740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0E0DBFD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(5,495)</w:t>
            </w:r>
          </w:p>
        </w:tc>
        <w:tc>
          <w:tcPr>
            <w:tcW w:w="277" w:type="dxa"/>
            <w:tcBorders>
              <w:top w:val="nil"/>
              <w:left w:val="nil"/>
              <w:bottom w:val="nil"/>
              <w:right w:val="nil"/>
            </w:tcBorders>
            <w:shd w:val="clear" w:color="000000" w:fill="FFFFFF"/>
            <w:vAlign w:val="center"/>
            <w:hideMark/>
          </w:tcPr>
          <w:p w14:paraId="408503F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49F57C9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(3,804)</w:t>
            </w:r>
          </w:p>
        </w:tc>
      </w:tr>
      <w:tr w:rsidR="00361FA6" w:rsidRPr="00361FA6" w14:paraId="0499AAD6" w14:textId="77777777" w:rsidTr="00F032FF">
        <w:trPr>
          <w:trHeight w:val="240"/>
        </w:trPr>
        <w:tc>
          <w:tcPr>
            <w:tcW w:w="4336" w:type="dxa"/>
            <w:tcBorders>
              <w:top w:val="nil"/>
              <w:left w:val="nil"/>
              <w:bottom w:val="nil"/>
              <w:right w:val="nil"/>
            </w:tcBorders>
            <w:shd w:val="clear" w:color="000000" w:fill="FFFFFF"/>
            <w:noWrap/>
            <w:vAlign w:val="center"/>
            <w:hideMark/>
          </w:tcPr>
          <w:p w14:paraId="2A13228E"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Provisions for liabilities and charges - current</w:t>
            </w:r>
          </w:p>
        </w:tc>
        <w:tc>
          <w:tcPr>
            <w:tcW w:w="648" w:type="dxa"/>
            <w:tcBorders>
              <w:top w:val="nil"/>
              <w:left w:val="nil"/>
              <w:bottom w:val="nil"/>
              <w:right w:val="nil"/>
            </w:tcBorders>
            <w:shd w:val="clear" w:color="000000" w:fill="FFFFFF"/>
            <w:noWrap/>
            <w:vAlign w:val="center"/>
            <w:hideMark/>
          </w:tcPr>
          <w:p w14:paraId="3B217DD3"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0EE4D22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(10)</w:t>
            </w:r>
          </w:p>
        </w:tc>
        <w:tc>
          <w:tcPr>
            <w:tcW w:w="277" w:type="dxa"/>
            <w:tcBorders>
              <w:top w:val="nil"/>
              <w:left w:val="nil"/>
              <w:bottom w:val="nil"/>
              <w:right w:val="nil"/>
            </w:tcBorders>
            <w:shd w:val="clear" w:color="000000" w:fill="FFFFFF"/>
            <w:vAlign w:val="center"/>
            <w:hideMark/>
          </w:tcPr>
          <w:p w14:paraId="7B5E2AF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66A2D33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c>
          <w:tcPr>
            <w:tcW w:w="277" w:type="dxa"/>
            <w:tcBorders>
              <w:top w:val="nil"/>
              <w:left w:val="nil"/>
              <w:bottom w:val="nil"/>
              <w:right w:val="nil"/>
            </w:tcBorders>
            <w:shd w:val="clear" w:color="000000" w:fill="FFFFFF"/>
            <w:vAlign w:val="center"/>
            <w:hideMark/>
          </w:tcPr>
          <w:p w14:paraId="0F8DD97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4FDDA1E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(170)</w:t>
            </w:r>
          </w:p>
        </w:tc>
      </w:tr>
      <w:tr w:rsidR="00361FA6" w:rsidRPr="00361FA6" w14:paraId="37FFAB4E" w14:textId="77777777" w:rsidTr="00F032FF">
        <w:trPr>
          <w:trHeight w:val="240"/>
        </w:trPr>
        <w:tc>
          <w:tcPr>
            <w:tcW w:w="4336" w:type="dxa"/>
            <w:tcBorders>
              <w:top w:val="nil"/>
              <w:left w:val="nil"/>
              <w:bottom w:val="nil"/>
              <w:right w:val="nil"/>
            </w:tcBorders>
            <w:shd w:val="clear" w:color="000000" w:fill="FFFFFF"/>
            <w:noWrap/>
            <w:vAlign w:val="center"/>
            <w:hideMark/>
          </w:tcPr>
          <w:p w14:paraId="163B8DE4"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648" w:type="dxa"/>
            <w:tcBorders>
              <w:top w:val="nil"/>
              <w:left w:val="nil"/>
              <w:bottom w:val="nil"/>
              <w:right w:val="nil"/>
            </w:tcBorders>
            <w:shd w:val="clear" w:color="000000" w:fill="FFFFFF"/>
            <w:noWrap/>
            <w:vAlign w:val="center"/>
            <w:hideMark/>
          </w:tcPr>
          <w:p w14:paraId="05BF1582"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single" w:sz="4" w:space="0" w:color="auto"/>
              <w:left w:val="nil"/>
              <w:bottom w:val="single" w:sz="4" w:space="0" w:color="auto"/>
              <w:right w:val="nil"/>
            </w:tcBorders>
            <w:shd w:val="clear" w:color="000000" w:fill="FFFFFF"/>
            <w:vAlign w:val="center"/>
            <w:hideMark/>
          </w:tcPr>
          <w:p w14:paraId="0EA8E01D"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(6,541)</w:t>
            </w:r>
          </w:p>
        </w:tc>
        <w:tc>
          <w:tcPr>
            <w:tcW w:w="277" w:type="dxa"/>
            <w:tcBorders>
              <w:top w:val="nil"/>
              <w:left w:val="nil"/>
              <w:bottom w:val="nil"/>
              <w:right w:val="nil"/>
            </w:tcBorders>
            <w:shd w:val="clear" w:color="000000" w:fill="FFFFFF"/>
            <w:vAlign w:val="center"/>
            <w:hideMark/>
          </w:tcPr>
          <w:p w14:paraId="7FAA81B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single" w:sz="4" w:space="0" w:color="auto"/>
              <w:left w:val="nil"/>
              <w:bottom w:val="single" w:sz="4" w:space="0" w:color="auto"/>
              <w:right w:val="nil"/>
            </w:tcBorders>
            <w:shd w:val="clear" w:color="000000" w:fill="FFFFFF"/>
            <w:vAlign w:val="center"/>
            <w:hideMark/>
          </w:tcPr>
          <w:p w14:paraId="4B401B4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(5,495)</w:t>
            </w:r>
          </w:p>
        </w:tc>
        <w:tc>
          <w:tcPr>
            <w:tcW w:w="277" w:type="dxa"/>
            <w:tcBorders>
              <w:top w:val="nil"/>
              <w:left w:val="nil"/>
              <w:bottom w:val="nil"/>
              <w:right w:val="nil"/>
            </w:tcBorders>
            <w:shd w:val="clear" w:color="000000" w:fill="FFFFFF"/>
            <w:vAlign w:val="center"/>
            <w:hideMark/>
          </w:tcPr>
          <w:p w14:paraId="7562868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single" w:sz="4" w:space="0" w:color="auto"/>
              <w:left w:val="nil"/>
              <w:bottom w:val="single" w:sz="4" w:space="0" w:color="auto"/>
              <w:right w:val="nil"/>
            </w:tcBorders>
            <w:shd w:val="clear" w:color="000000" w:fill="FFFFFF"/>
            <w:vAlign w:val="center"/>
            <w:hideMark/>
          </w:tcPr>
          <w:p w14:paraId="5FCF8A7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(3,974)</w:t>
            </w:r>
          </w:p>
        </w:tc>
      </w:tr>
      <w:tr w:rsidR="00361FA6" w:rsidRPr="00361FA6" w14:paraId="67FE56D7" w14:textId="77777777" w:rsidTr="00F032FF">
        <w:trPr>
          <w:trHeight w:val="240"/>
        </w:trPr>
        <w:tc>
          <w:tcPr>
            <w:tcW w:w="4336" w:type="dxa"/>
            <w:tcBorders>
              <w:top w:val="nil"/>
              <w:left w:val="nil"/>
              <w:bottom w:val="nil"/>
              <w:right w:val="nil"/>
            </w:tcBorders>
            <w:shd w:val="clear" w:color="000000" w:fill="FFFFFF"/>
            <w:noWrap/>
            <w:vAlign w:val="center"/>
            <w:hideMark/>
          </w:tcPr>
          <w:p w14:paraId="665BB264"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Net current assets</w:t>
            </w:r>
          </w:p>
        </w:tc>
        <w:tc>
          <w:tcPr>
            <w:tcW w:w="648" w:type="dxa"/>
            <w:tcBorders>
              <w:top w:val="nil"/>
              <w:left w:val="nil"/>
              <w:bottom w:val="nil"/>
              <w:right w:val="nil"/>
            </w:tcBorders>
            <w:shd w:val="clear" w:color="000000" w:fill="FFFFFF"/>
            <w:noWrap/>
            <w:vAlign w:val="center"/>
            <w:hideMark/>
          </w:tcPr>
          <w:p w14:paraId="66D7851C"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single" w:sz="4" w:space="0" w:color="auto"/>
              <w:right w:val="nil"/>
            </w:tcBorders>
            <w:shd w:val="clear" w:color="000000" w:fill="FFFFFF"/>
            <w:vAlign w:val="center"/>
            <w:hideMark/>
          </w:tcPr>
          <w:p w14:paraId="751A7AC1"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(532)</w:t>
            </w:r>
          </w:p>
        </w:tc>
        <w:tc>
          <w:tcPr>
            <w:tcW w:w="277" w:type="dxa"/>
            <w:tcBorders>
              <w:top w:val="nil"/>
              <w:left w:val="nil"/>
              <w:bottom w:val="nil"/>
              <w:right w:val="nil"/>
            </w:tcBorders>
            <w:shd w:val="clear" w:color="000000" w:fill="FFFFFF"/>
            <w:vAlign w:val="center"/>
            <w:hideMark/>
          </w:tcPr>
          <w:p w14:paraId="13E43A6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single" w:sz="4" w:space="0" w:color="auto"/>
              <w:right w:val="nil"/>
            </w:tcBorders>
            <w:shd w:val="clear" w:color="000000" w:fill="FFFFFF"/>
            <w:vAlign w:val="center"/>
            <w:hideMark/>
          </w:tcPr>
          <w:p w14:paraId="35A201E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1,408 </w:t>
            </w:r>
          </w:p>
        </w:tc>
        <w:tc>
          <w:tcPr>
            <w:tcW w:w="277" w:type="dxa"/>
            <w:tcBorders>
              <w:top w:val="nil"/>
              <w:left w:val="nil"/>
              <w:bottom w:val="nil"/>
              <w:right w:val="nil"/>
            </w:tcBorders>
            <w:shd w:val="clear" w:color="000000" w:fill="FFFFFF"/>
            <w:vAlign w:val="center"/>
            <w:hideMark/>
          </w:tcPr>
          <w:p w14:paraId="232FA50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single" w:sz="4" w:space="0" w:color="auto"/>
              <w:right w:val="nil"/>
            </w:tcBorders>
            <w:shd w:val="clear" w:color="000000" w:fill="FFFFFF"/>
            <w:vAlign w:val="center"/>
            <w:hideMark/>
          </w:tcPr>
          <w:p w14:paraId="75DADA8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2,245 </w:t>
            </w:r>
          </w:p>
        </w:tc>
      </w:tr>
      <w:tr w:rsidR="00361FA6" w:rsidRPr="00361FA6" w14:paraId="28A13B7F" w14:textId="77777777" w:rsidTr="00F032FF">
        <w:trPr>
          <w:trHeight w:val="240"/>
        </w:trPr>
        <w:tc>
          <w:tcPr>
            <w:tcW w:w="4336" w:type="dxa"/>
            <w:tcBorders>
              <w:top w:val="nil"/>
              <w:left w:val="nil"/>
              <w:bottom w:val="nil"/>
              <w:right w:val="nil"/>
            </w:tcBorders>
            <w:shd w:val="clear" w:color="000000" w:fill="FFFFFF"/>
            <w:noWrap/>
            <w:vAlign w:val="center"/>
            <w:hideMark/>
          </w:tcPr>
          <w:p w14:paraId="2356623B"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648" w:type="dxa"/>
            <w:tcBorders>
              <w:top w:val="nil"/>
              <w:left w:val="nil"/>
              <w:bottom w:val="nil"/>
              <w:right w:val="nil"/>
            </w:tcBorders>
            <w:shd w:val="clear" w:color="000000" w:fill="FFFFFF"/>
            <w:noWrap/>
            <w:vAlign w:val="center"/>
            <w:hideMark/>
          </w:tcPr>
          <w:p w14:paraId="44032908"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4849E93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vAlign w:val="center"/>
            <w:hideMark/>
          </w:tcPr>
          <w:p w14:paraId="56844CC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2C83374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vAlign w:val="center"/>
            <w:hideMark/>
          </w:tcPr>
          <w:p w14:paraId="40ED753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70B69C9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137792FD" w14:textId="77777777" w:rsidTr="00F032FF">
        <w:trPr>
          <w:trHeight w:val="240"/>
        </w:trPr>
        <w:tc>
          <w:tcPr>
            <w:tcW w:w="4336" w:type="dxa"/>
            <w:tcBorders>
              <w:top w:val="nil"/>
              <w:left w:val="nil"/>
              <w:bottom w:val="nil"/>
              <w:right w:val="nil"/>
            </w:tcBorders>
            <w:shd w:val="clear" w:color="000000" w:fill="FFFFFF"/>
            <w:noWrap/>
            <w:vAlign w:val="center"/>
            <w:hideMark/>
          </w:tcPr>
          <w:p w14:paraId="4C74424A"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Non-current liabilities</w:t>
            </w:r>
          </w:p>
        </w:tc>
        <w:tc>
          <w:tcPr>
            <w:tcW w:w="648" w:type="dxa"/>
            <w:tcBorders>
              <w:top w:val="nil"/>
              <w:left w:val="nil"/>
              <w:bottom w:val="nil"/>
              <w:right w:val="nil"/>
            </w:tcBorders>
            <w:shd w:val="clear" w:color="000000" w:fill="FFFFFF"/>
            <w:noWrap/>
            <w:vAlign w:val="center"/>
            <w:hideMark/>
          </w:tcPr>
          <w:p w14:paraId="231FF1D8"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1B8DA098"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vAlign w:val="center"/>
            <w:hideMark/>
          </w:tcPr>
          <w:p w14:paraId="2356B8B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50FA1C7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vAlign w:val="center"/>
            <w:hideMark/>
          </w:tcPr>
          <w:p w14:paraId="26234AC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32F8F26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6F0DFC8E" w14:textId="77777777" w:rsidTr="00F032FF">
        <w:trPr>
          <w:trHeight w:val="240"/>
        </w:trPr>
        <w:tc>
          <w:tcPr>
            <w:tcW w:w="4336" w:type="dxa"/>
            <w:tcBorders>
              <w:top w:val="nil"/>
              <w:left w:val="nil"/>
              <w:bottom w:val="nil"/>
              <w:right w:val="nil"/>
            </w:tcBorders>
            <w:shd w:val="clear" w:color="000000" w:fill="FFFFFF"/>
            <w:noWrap/>
            <w:vAlign w:val="center"/>
            <w:hideMark/>
          </w:tcPr>
          <w:p w14:paraId="6D4EB146"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Bank loan</w:t>
            </w:r>
          </w:p>
        </w:tc>
        <w:tc>
          <w:tcPr>
            <w:tcW w:w="648" w:type="dxa"/>
            <w:tcBorders>
              <w:top w:val="nil"/>
              <w:left w:val="nil"/>
              <w:bottom w:val="nil"/>
              <w:right w:val="nil"/>
            </w:tcBorders>
            <w:shd w:val="clear" w:color="000000" w:fill="FFFFFF"/>
            <w:noWrap/>
            <w:vAlign w:val="center"/>
            <w:hideMark/>
          </w:tcPr>
          <w:p w14:paraId="7EF3C190"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6855AA5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(941)</w:t>
            </w:r>
          </w:p>
        </w:tc>
        <w:tc>
          <w:tcPr>
            <w:tcW w:w="277" w:type="dxa"/>
            <w:tcBorders>
              <w:top w:val="nil"/>
              <w:left w:val="nil"/>
              <w:bottom w:val="nil"/>
              <w:right w:val="nil"/>
            </w:tcBorders>
            <w:shd w:val="clear" w:color="000000" w:fill="FFFFFF"/>
            <w:vAlign w:val="center"/>
            <w:hideMark/>
          </w:tcPr>
          <w:p w14:paraId="3973F31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30428BE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c>
          <w:tcPr>
            <w:tcW w:w="277" w:type="dxa"/>
            <w:tcBorders>
              <w:top w:val="nil"/>
              <w:left w:val="nil"/>
              <w:bottom w:val="nil"/>
              <w:right w:val="nil"/>
            </w:tcBorders>
            <w:shd w:val="clear" w:color="000000" w:fill="FFFFFF"/>
            <w:vAlign w:val="center"/>
            <w:hideMark/>
          </w:tcPr>
          <w:p w14:paraId="03FD299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2231E43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r>
      <w:tr w:rsidR="00361FA6" w:rsidRPr="00361FA6" w14:paraId="7533340C" w14:textId="77777777" w:rsidTr="00F032FF">
        <w:trPr>
          <w:trHeight w:val="240"/>
        </w:trPr>
        <w:tc>
          <w:tcPr>
            <w:tcW w:w="4336" w:type="dxa"/>
            <w:tcBorders>
              <w:top w:val="nil"/>
              <w:left w:val="nil"/>
              <w:bottom w:val="nil"/>
              <w:right w:val="nil"/>
            </w:tcBorders>
            <w:shd w:val="clear" w:color="000000" w:fill="FFFFFF"/>
            <w:noWrap/>
            <w:vAlign w:val="center"/>
            <w:hideMark/>
          </w:tcPr>
          <w:p w14:paraId="069ED238"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Other long term liabilities</w:t>
            </w:r>
          </w:p>
        </w:tc>
        <w:tc>
          <w:tcPr>
            <w:tcW w:w="648" w:type="dxa"/>
            <w:tcBorders>
              <w:top w:val="nil"/>
              <w:left w:val="nil"/>
              <w:bottom w:val="nil"/>
              <w:right w:val="nil"/>
            </w:tcBorders>
            <w:shd w:val="clear" w:color="000000" w:fill="FFFFFF"/>
            <w:noWrap/>
            <w:vAlign w:val="center"/>
            <w:hideMark/>
          </w:tcPr>
          <w:p w14:paraId="15F360EC"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34DA0884"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(381)</w:t>
            </w:r>
          </w:p>
        </w:tc>
        <w:tc>
          <w:tcPr>
            <w:tcW w:w="277" w:type="dxa"/>
            <w:tcBorders>
              <w:top w:val="nil"/>
              <w:left w:val="nil"/>
              <w:bottom w:val="nil"/>
              <w:right w:val="nil"/>
            </w:tcBorders>
            <w:shd w:val="clear" w:color="000000" w:fill="FFFFFF"/>
            <w:vAlign w:val="center"/>
            <w:hideMark/>
          </w:tcPr>
          <w:p w14:paraId="2B856E1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38DC724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c>
          <w:tcPr>
            <w:tcW w:w="277" w:type="dxa"/>
            <w:tcBorders>
              <w:top w:val="nil"/>
              <w:left w:val="nil"/>
              <w:bottom w:val="nil"/>
              <w:right w:val="nil"/>
            </w:tcBorders>
            <w:shd w:val="clear" w:color="000000" w:fill="FFFFFF"/>
            <w:vAlign w:val="center"/>
            <w:hideMark/>
          </w:tcPr>
          <w:p w14:paraId="7C1890B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5574998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r>
      <w:tr w:rsidR="00361FA6" w:rsidRPr="00361FA6" w14:paraId="4323EEEF" w14:textId="77777777" w:rsidTr="00F032FF">
        <w:trPr>
          <w:trHeight w:val="240"/>
        </w:trPr>
        <w:tc>
          <w:tcPr>
            <w:tcW w:w="4336" w:type="dxa"/>
            <w:tcBorders>
              <w:top w:val="nil"/>
              <w:left w:val="nil"/>
              <w:bottom w:val="nil"/>
              <w:right w:val="nil"/>
            </w:tcBorders>
            <w:shd w:val="clear" w:color="000000" w:fill="FFFFFF"/>
            <w:noWrap/>
            <w:vAlign w:val="center"/>
            <w:hideMark/>
          </w:tcPr>
          <w:p w14:paraId="4860A64C"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 </w:t>
            </w:r>
          </w:p>
        </w:tc>
        <w:tc>
          <w:tcPr>
            <w:tcW w:w="648" w:type="dxa"/>
            <w:tcBorders>
              <w:top w:val="nil"/>
              <w:left w:val="nil"/>
              <w:bottom w:val="nil"/>
              <w:right w:val="nil"/>
            </w:tcBorders>
            <w:shd w:val="clear" w:color="000000" w:fill="FFFFFF"/>
            <w:noWrap/>
            <w:vAlign w:val="center"/>
            <w:hideMark/>
          </w:tcPr>
          <w:p w14:paraId="3ED887DA"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single" w:sz="4" w:space="0" w:color="auto"/>
              <w:left w:val="nil"/>
              <w:bottom w:val="single" w:sz="4" w:space="0" w:color="auto"/>
              <w:right w:val="nil"/>
            </w:tcBorders>
            <w:shd w:val="clear" w:color="000000" w:fill="FFFFFF"/>
            <w:vAlign w:val="center"/>
            <w:hideMark/>
          </w:tcPr>
          <w:p w14:paraId="13E092A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(1,322)</w:t>
            </w:r>
          </w:p>
        </w:tc>
        <w:tc>
          <w:tcPr>
            <w:tcW w:w="277" w:type="dxa"/>
            <w:tcBorders>
              <w:top w:val="nil"/>
              <w:left w:val="nil"/>
              <w:bottom w:val="nil"/>
              <w:right w:val="nil"/>
            </w:tcBorders>
            <w:shd w:val="clear" w:color="000000" w:fill="FFFFFF"/>
            <w:vAlign w:val="center"/>
            <w:hideMark/>
          </w:tcPr>
          <w:p w14:paraId="2967166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single" w:sz="4" w:space="0" w:color="auto"/>
              <w:left w:val="nil"/>
              <w:bottom w:val="single" w:sz="4" w:space="0" w:color="auto"/>
              <w:right w:val="nil"/>
            </w:tcBorders>
            <w:shd w:val="clear" w:color="000000" w:fill="FFFFFF"/>
            <w:vAlign w:val="center"/>
            <w:hideMark/>
          </w:tcPr>
          <w:p w14:paraId="72D3C31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c>
          <w:tcPr>
            <w:tcW w:w="277" w:type="dxa"/>
            <w:tcBorders>
              <w:top w:val="nil"/>
              <w:left w:val="nil"/>
              <w:bottom w:val="nil"/>
              <w:right w:val="nil"/>
            </w:tcBorders>
            <w:shd w:val="clear" w:color="000000" w:fill="FFFFFF"/>
            <w:vAlign w:val="center"/>
            <w:hideMark/>
          </w:tcPr>
          <w:p w14:paraId="40F10AD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single" w:sz="4" w:space="0" w:color="auto"/>
              <w:left w:val="nil"/>
              <w:bottom w:val="single" w:sz="4" w:space="0" w:color="auto"/>
              <w:right w:val="nil"/>
            </w:tcBorders>
            <w:shd w:val="clear" w:color="000000" w:fill="FFFFFF"/>
            <w:vAlign w:val="center"/>
            <w:hideMark/>
          </w:tcPr>
          <w:p w14:paraId="7A3AF70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  </w:t>
            </w:r>
          </w:p>
        </w:tc>
      </w:tr>
      <w:tr w:rsidR="00361FA6" w:rsidRPr="00361FA6" w14:paraId="46645DA8" w14:textId="77777777" w:rsidTr="00F032FF">
        <w:trPr>
          <w:trHeight w:val="240"/>
        </w:trPr>
        <w:tc>
          <w:tcPr>
            <w:tcW w:w="4336" w:type="dxa"/>
            <w:tcBorders>
              <w:top w:val="nil"/>
              <w:left w:val="nil"/>
              <w:bottom w:val="nil"/>
              <w:right w:val="nil"/>
            </w:tcBorders>
            <w:shd w:val="clear" w:color="000000" w:fill="FFFFFF"/>
            <w:noWrap/>
            <w:vAlign w:val="center"/>
            <w:hideMark/>
          </w:tcPr>
          <w:p w14:paraId="54921892"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Total liabilities</w:t>
            </w:r>
          </w:p>
        </w:tc>
        <w:tc>
          <w:tcPr>
            <w:tcW w:w="648" w:type="dxa"/>
            <w:tcBorders>
              <w:top w:val="nil"/>
              <w:left w:val="nil"/>
              <w:bottom w:val="nil"/>
              <w:right w:val="nil"/>
            </w:tcBorders>
            <w:shd w:val="clear" w:color="000000" w:fill="FFFFFF"/>
            <w:noWrap/>
            <w:vAlign w:val="center"/>
            <w:hideMark/>
          </w:tcPr>
          <w:p w14:paraId="03C57967"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single" w:sz="4" w:space="0" w:color="auto"/>
              <w:right w:val="nil"/>
            </w:tcBorders>
            <w:shd w:val="clear" w:color="000000" w:fill="FFFFFF"/>
            <w:vAlign w:val="center"/>
            <w:hideMark/>
          </w:tcPr>
          <w:p w14:paraId="49CF082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(7,863)</w:t>
            </w:r>
          </w:p>
        </w:tc>
        <w:tc>
          <w:tcPr>
            <w:tcW w:w="277" w:type="dxa"/>
            <w:tcBorders>
              <w:top w:val="nil"/>
              <w:left w:val="nil"/>
              <w:bottom w:val="nil"/>
              <w:right w:val="nil"/>
            </w:tcBorders>
            <w:shd w:val="clear" w:color="000000" w:fill="FFFFFF"/>
            <w:vAlign w:val="center"/>
            <w:hideMark/>
          </w:tcPr>
          <w:p w14:paraId="2678D90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single" w:sz="4" w:space="0" w:color="auto"/>
              <w:right w:val="nil"/>
            </w:tcBorders>
            <w:shd w:val="clear" w:color="000000" w:fill="FFFFFF"/>
            <w:vAlign w:val="center"/>
            <w:hideMark/>
          </w:tcPr>
          <w:p w14:paraId="052A83A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(5,495)</w:t>
            </w:r>
          </w:p>
        </w:tc>
        <w:tc>
          <w:tcPr>
            <w:tcW w:w="277" w:type="dxa"/>
            <w:tcBorders>
              <w:top w:val="nil"/>
              <w:left w:val="nil"/>
              <w:bottom w:val="nil"/>
              <w:right w:val="nil"/>
            </w:tcBorders>
            <w:shd w:val="clear" w:color="000000" w:fill="FFFFFF"/>
            <w:vAlign w:val="center"/>
            <w:hideMark/>
          </w:tcPr>
          <w:p w14:paraId="4B08D07E"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single" w:sz="4" w:space="0" w:color="auto"/>
              <w:right w:val="nil"/>
            </w:tcBorders>
            <w:shd w:val="clear" w:color="000000" w:fill="FFFFFF"/>
            <w:vAlign w:val="center"/>
            <w:hideMark/>
          </w:tcPr>
          <w:p w14:paraId="2C33482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(3,974)</w:t>
            </w:r>
          </w:p>
        </w:tc>
      </w:tr>
      <w:tr w:rsidR="00361FA6" w:rsidRPr="00361FA6" w14:paraId="31157A36" w14:textId="77777777" w:rsidTr="00F032FF">
        <w:trPr>
          <w:trHeight w:val="255"/>
        </w:trPr>
        <w:tc>
          <w:tcPr>
            <w:tcW w:w="4336" w:type="dxa"/>
            <w:tcBorders>
              <w:top w:val="nil"/>
              <w:left w:val="nil"/>
              <w:bottom w:val="nil"/>
              <w:right w:val="nil"/>
            </w:tcBorders>
            <w:shd w:val="clear" w:color="000000" w:fill="FFFFFF"/>
            <w:noWrap/>
            <w:vAlign w:val="center"/>
            <w:hideMark/>
          </w:tcPr>
          <w:p w14:paraId="1369CD2D"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Net assets</w:t>
            </w:r>
          </w:p>
        </w:tc>
        <w:tc>
          <w:tcPr>
            <w:tcW w:w="648" w:type="dxa"/>
            <w:tcBorders>
              <w:top w:val="nil"/>
              <w:left w:val="nil"/>
              <w:bottom w:val="nil"/>
              <w:right w:val="nil"/>
            </w:tcBorders>
            <w:shd w:val="clear" w:color="000000" w:fill="FFFFFF"/>
            <w:noWrap/>
            <w:vAlign w:val="center"/>
            <w:hideMark/>
          </w:tcPr>
          <w:p w14:paraId="5CF0F456"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double" w:sz="6" w:space="0" w:color="auto"/>
              <w:right w:val="nil"/>
            </w:tcBorders>
            <w:shd w:val="clear" w:color="000000" w:fill="FFFFFF"/>
            <w:vAlign w:val="center"/>
            <w:hideMark/>
          </w:tcPr>
          <w:p w14:paraId="22DA81E7"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790 </w:t>
            </w:r>
          </w:p>
        </w:tc>
        <w:tc>
          <w:tcPr>
            <w:tcW w:w="277" w:type="dxa"/>
            <w:tcBorders>
              <w:top w:val="nil"/>
              <w:left w:val="nil"/>
              <w:bottom w:val="nil"/>
              <w:right w:val="nil"/>
            </w:tcBorders>
            <w:shd w:val="clear" w:color="000000" w:fill="FFFFFF"/>
            <w:vAlign w:val="center"/>
            <w:hideMark/>
          </w:tcPr>
          <w:p w14:paraId="33B63BA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double" w:sz="6" w:space="0" w:color="auto"/>
              <w:right w:val="nil"/>
            </w:tcBorders>
            <w:shd w:val="clear" w:color="000000" w:fill="FFFFFF"/>
            <w:vAlign w:val="center"/>
            <w:hideMark/>
          </w:tcPr>
          <w:p w14:paraId="711B737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4,449 </w:t>
            </w:r>
          </w:p>
        </w:tc>
        <w:tc>
          <w:tcPr>
            <w:tcW w:w="277" w:type="dxa"/>
            <w:tcBorders>
              <w:top w:val="nil"/>
              <w:left w:val="nil"/>
              <w:bottom w:val="nil"/>
              <w:right w:val="nil"/>
            </w:tcBorders>
            <w:shd w:val="clear" w:color="000000" w:fill="FFFFFF"/>
            <w:vAlign w:val="center"/>
            <w:hideMark/>
          </w:tcPr>
          <w:p w14:paraId="4529C1D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double" w:sz="6" w:space="0" w:color="auto"/>
              <w:right w:val="nil"/>
            </w:tcBorders>
            <w:shd w:val="clear" w:color="000000" w:fill="FFFFFF"/>
            <w:vAlign w:val="center"/>
            <w:hideMark/>
          </w:tcPr>
          <w:p w14:paraId="6DFD7F9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3,365 </w:t>
            </w:r>
          </w:p>
        </w:tc>
      </w:tr>
      <w:tr w:rsidR="00361FA6" w:rsidRPr="00361FA6" w14:paraId="343AD3B0" w14:textId="77777777" w:rsidTr="00F032FF">
        <w:trPr>
          <w:trHeight w:val="255"/>
        </w:trPr>
        <w:tc>
          <w:tcPr>
            <w:tcW w:w="4336" w:type="dxa"/>
            <w:tcBorders>
              <w:top w:val="nil"/>
              <w:left w:val="nil"/>
              <w:bottom w:val="nil"/>
              <w:right w:val="nil"/>
            </w:tcBorders>
            <w:shd w:val="clear" w:color="000000" w:fill="FFFFFF"/>
            <w:noWrap/>
            <w:vAlign w:val="center"/>
            <w:hideMark/>
          </w:tcPr>
          <w:p w14:paraId="1FFE2AE2"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 </w:t>
            </w:r>
          </w:p>
        </w:tc>
        <w:tc>
          <w:tcPr>
            <w:tcW w:w="648" w:type="dxa"/>
            <w:tcBorders>
              <w:top w:val="nil"/>
              <w:left w:val="nil"/>
              <w:bottom w:val="nil"/>
              <w:right w:val="nil"/>
            </w:tcBorders>
            <w:shd w:val="clear" w:color="000000" w:fill="FFFFFF"/>
            <w:noWrap/>
            <w:vAlign w:val="center"/>
            <w:hideMark/>
          </w:tcPr>
          <w:p w14:paraId="74BFDB97"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7F583899"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vAlign w:val="center"/>
            <w:hideMark/>
          </w:tcPr>
          <w:p w14:paraId="7680327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2F1C632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vAlign w:val="center"/>
            <w:hideMark/>
          </w:tcPr>
          <w:p w14:paraId="6F13E4D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693F15F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700F64E6" w14:textId="77777777" w:rsidTr="00F032FF">
        <w:trPr>
          <w:trHeight w:val="240"/>
        </w:trPr>
        <w:tc>
          <w:tcPr>
            <w:tcW w:w="4336" w:type="dxa"/>
            <w:tcBorders>
              <w:top w:val="nil"/>
              <w:left w:val="nil"/>
              <w:bottom w:val="nil"/>
              <w:right w:val="nil"/>
            </w:tcBorders>
            <w:shd w:val="clear" w:color="000000" w:fill="FFFFFF"/>
            <w:noWrap/>
            <w:vAlign w:val="center"/>
            <w:hideMark/>
          </w:tcPr>
          <w:p w14:paraId="4FD7E5CC"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Equity</w:t>
            </w:r>
          </w:p>
        </w:tc>
        <w:tc>
          <w:tcPr>
            <w:tcW w:w="648" w:type="dxa"/>
            <w:tcBorders>
              <w:top w:val="nil"/>
              <w:left w:val="nil"/>
              <w:bottom w:val="nil"/>
              <w:right w:val="nil"/>
            </w:tcBorders>
            <w:shd w:val="clear" w:color="000000" w:fill="FFFFFF"/>
            <w:noWrap/>
            <w:vAlign w:val="center"/>
            <w:hideMark/>
          </w:tcPr>
          <w:p w14:paraId="28979B4D"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5B2DAACB"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w:t>
            </w:r>
          </w:p>
        </w:tc>
        <w:tc>
          <w:tcPr>
            <w:tcW w:w="277" w:type="dxa"/>
            <w:tcBorders>
              <w:top w:val="nil"/>
              <w:left w:val="nil"/>
              <w:bottom w:val="nil"/>
              <w:right w:val="nil"/>
            </w:tcBorders>
            <w:shd w:val="clear" w:color="000000" w:fill="FFFFFF"/>
            <w:vAlign w:val="center"/>
            <w:hideMark/>
          </w:tcPr>
          <w:p w14:paraId="01FE151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0B7B3FE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277" w:type="dxa"/>
            <w:tcBorders>
              <w:top w:val="nil"/>
              <w:left w:val="nil"/>
              <w:bottom w:val="nil"/>
              <w:right w:val="nil"/>
            </w:tcBorders>
            <w:shd w:val="clear" w:color="000000" w:fill="FFFFFF"/>
            <w:vAlign w:val="center"/>
            <w:hideMark/>
          </w:tcPr>
          <w:p w14:paraId="124EB3F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705B0D05"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r>
      <w:tr w:rsidR="00361FA6" w:rsidRPr="00361FA6" w14:paraId="41DC5764" w14:textId="77777777" w:rsidTr="00F032FF">
        <w:trPr>
          <w:trHeight w:val="240"/>
        </w:trPr>
        <w:tc>
          <w:tcPr>
            <w:tcW w:w="4336" w:type="dxa"/>
            <w:tcBorders>
              <w:top w:val="nil"/>
              <w:left w:val="nil"/>
              <w:bottom w:val="nil"/>
              <w:right w:val="nil"/>
            </w:tcBorders>
            <w:shd w:val="clear" w:color="000000" w:fill="FFFFFF"/>
            <w:noWrap/>
            <w:vAlign w:val="center"/>
            <w:hideMark/>
          </w:tcPr>
          <w:p w14:paraId="199EB954"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Share capital</w:t>
            </w:r>
          </w:p>
        </w:tc>
        <w:tc>
          <w:tcPr>
            <w:tcW w:w="648" w:type="dxa"/>
            <w:tcBorders>
              <w:top w:val="nil"/>
              <w:left w:val="nil"/>
              <w:bottom w:val="nil"/>
              <w:right w:val="nil"/>
            </w:tcBorders>
            <w:shd w:val="clear" w:color="000000" w:fill="FFFFFF"/>
            <w:noWrap/>
            <w:vAlign w:val="center"/>
            <w:hideMark/>
          </w:tcPr>
          <w:p w14:paraId="79388309"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0807E0F7"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11,575 </w:t>
            </w:r>
          </w:p>
        </w:tc>
        <w:tc>
          <w:tcPr>
            <w:tcW w:w="277" w:type="dxa"/>
            <w:tcBorders>
              <w:top w:val="nil"/>
              <w:left w:val="nil"/>
              <w:bottom w:val="nil"/>
              <w:right w:val="nil"/>
            </w:tcBorders>
            <w:shd w:val="clear" w:color="000000" w:fill="FFFFFF"/>
            <w:vAlign w:val="center"/>
            <w:hideMark/>
          </w:tcPr>
          <w:p w14:paraId="314E1E67"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1CF11183"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10,843 </w:t>
            </w:r>
          </w:p>
        </w:tc>
        <w:tc>
          <w:tcPr>
            <w:tcW w:w="277" w:type="dxa"/>
            <w:tcBorders>
              <w:top w:val="nil"/>
              <w:left w:val="nil"/>
              <w:bottom w:val="nil"/>
              <w:right w:val="nil"/>
            </w:tcBorders>
            <w:shd w:val="clear" w:color="000000" w:fill="FFFFFF"/>
            <w:vAlign w:val="center"/>
            <w:hideMark/>
          </w:tcPr>
          <w:p w14:paraId="67399BF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28222B1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10,843 </w:t>
            </w:r>
          </w:p>
        </w:tc>
      </w:tr>
      <w:tr w:rsidR="00361FA6" w:rsidRPr="00361FA6" w14:paraId="02BAE6B8" w14:textId="77777777" w:rsidTr="00F032FF">
        <w:trPr>
          <w:trHeight w:val="240"/>
        </w:trPr>
        <w:tc>
          <w:tcPr>
            <w:tcW w:w="4336" w:type="dxa"/>
            <w:tcBorders>
              <w:top w:val="nil"/>
              <w:left w:val="nil"/>
              <w:bottom w:val="nil"/>
              <w:right w:val="nil"/>
            </w:tcBorders>
            <w:shd w:val="clear" w:color="000000" w:fill="FFFFFF"/>
            <w:noWrap/>
            <w:vAlign w:val="center"/>
            <w:hideMark/>
          </w:tcPr>
          <w:p w14:paraId="3D117417"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Share premium account</w:t>
            </w:r>
          </w:p>
        </w:tc>
        <w:tc>
          <w:tcPr>
            <w:tcW w:w="648" w:type="dxa"/>
            <w:tcBorders>
              <w:top w:val="nil"/>
              <w:left w:val="nil"/>
              <w:bottom w:val="nil"/>
              <w:right w:val="nil"/>
            </w:tcBorders>
            <w:shd w:val="clear" w:color="000000" w:fill="FFFFFF"/>
            <w:noWrap/>
            <w:vAlign w:val="center"/>
            <w:hideMark/>
          </w:tcPr>
          <w:p w14:paraId="619F6B3F"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3BE2485F"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17,278 </w:t>
            </w:r>
          </w:p>
        </w:tc>
        <w:tc>
          <w:tcPr>
            <w:tcW w:w="277" w:type="dxa"/>
            <w:tcBorders>
              <w:top w:val="nil"/>
              <w:left w:val="nil"/>
              <w:bottom w:val="nil"/>
              <w:right w:val="nil"/>
            </w:tcBorders>
            <w:shd w:val="clear" w:color="000000" w:fill="FFFFFF"/>
            <w:vAlign w:val="center"/>
            <w:hideMark/>
          </w:tcPr>
          <w:p w14:paraId="72FF415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57ACF3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17,278 </w:t>
            </w:r>
          </w:p>
        </w:tc>
        <w:tc>
          <w:tcPr>
            <w:tcW w:w="277" w:type="dxa"/>
            <w:tcBorders>
              <w:top w:val="nil"/>
              <w:left w:val="nil"/>
              <w:bottom w:val="nil"/>
              <w:right w:val="nil"/>
            </w:tcBorders>
            <w:shd w:val="clear" w:color="000000" w:fill="FFFFFF"/>
            <w:vAlign w:val="center"/>
            <w:hideMark/>
          </w:tcPr>
          <w:p w14:paraId="136B7F5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1E000B36"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17,278 </w:t>
            </w:r>
          </w:p>
        </w:tc>
      </w:tr>
      <w:tr w:rsidR="00361FA6" w:rsidRPr="00361FA6" w14:paraId="05E7AA9C" w14:textId="77777777" w:rsidTr="00F032FF">
        <w:trPr>
          <w:trHeight w:val="240"/>
        </w:trPr>
        <w:tc>
          <w:tcPr>
            <w:tcW w:w="4336" w:type="dxa"/>
            <w:tcBorders>
              <w:top w:val="nil"/>
              <w:left w:val="nil"/>
              <w:bottom w:val="nil"/>
              <w:right w:val="nil"/>
            </w:tcBorders>
            <w:shd w:val="clear" w:color="000000" w:fill="FFFFFF"/>
            <w:noWrap/>
            <w:vAlign w:val="center"/>
            <w:hideMark/>
          </w:tcPr>
          <w:p w14:paraId="5731DAFD"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Treasury reserve</w:t>
            </w:r>
          </w:p>
        </w:tc>
        <w:tc>
          <w:tcPr>
            <w:tcW w:w="648" w:type="dxa"/>
            <w:tcBorders>
              <w:top w:val="nil"/>
              <w:left w:val="nil"/>
              <w:bottom w:val="nil"/>
              <w:right w:val="nil"/>
            </w:tcBorders>
            <w:shd w:val="clear" w:color="000000" w:fill="FFFFFF"/>
            <w:noWrap/>
            <w:vAlign w:val="center"/>
            <w:hideMark/>
          </w:tcPr>
          <w:p w14:paraId="2EAAF3F4"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6F5DB287"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(5)</w:t>
            </w:r>
          </w:p>
        </w:tc>
        <w:tc>
          <w:tcPr>
            <w:tcW w:w="277" w:type="dxa"/>
            <w:tcBorders>
              <w:top w:val="nil"/>
              <w:left w:val="nil"/>
              <w:bottom w:val="nil"/>
              <w:right w:val="nil"/>
            </w:tcBorders>
            <w:shd w:val="clear" w:color="000000" w:fill="FFFFFF"/>
            <w:vAlign w:val="center"/>
            <w:hideMark/>
          </w:tcPr>
          <w:p w14:paraId="7896CB8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C0B7FE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(74)</w:t>
            </w:r>
          </w:p>
        </w:tc>
        <w:tc>
          <w:tcPr>
            <w:tcW w:w="277" w:type="dxa"/>
            <w:tcBorders>
              <w:top w:val="nil"/>
              <w:left w:val="nil"/>
              <w:bottom w:val="nil"/>
              <w:right w:val="nil"/>
            </w:tcBorders>
            <w:shd w:val="clear" w:color="000000" w:fill="FFFFFF"/>
            <w:vAlign w:val="center"/>
            <w:hideMark/>
          </w:tcPr>
          <w:p w14:paraId="70372DEA"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0FE9582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(42)</w:t>
            </w:r>
          </w:p>
        </w:tc>
      </w:tr>
      <w:tr w:rsidR="00361FA6" w:rsidRPr="00361FA6" w14:paraId="37C78E11" w14:textId="77777777" w:rsidTr="00F032FF">
        <w:trPr>
          <w:trHeight w:val="240"/>
        </w:trPr>
        <w:tc>
          <w:tcPr>
            <w:tcW w:w="4336" w:type="dxa"/>
            <w:tcBorders>
              <w:top w:val="nil"/>
              <w:left w:val="nil"/>
              <w:bottom w:val="nil"/>
              <w:right w:val="nil"/>
            </w:tcBorders>
            <w:shd w:val="clear" w:color="000000" w:fill="FFFFFF"/>
            <w:noWrap/>
            <w:vAlign w:val="center"/>
            <w:hideMark/>
          </w:tcPr>
          <w:p w14:paraId="2388DF5E"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Reverse acquisition reserve</w:t>
            </w:r>
          </w:p>
        </w:tc>
        <w:tc>
          <w:tcPr>
            <w:tcW w:w="648" w:type="dxa"/>
            <w:tcBorders>
              <w:top w:val="nil"/>
              <w:left w:val="nil"/>
              <w:bottom w:val="nil"/>
              <w:right w:val="nil"/>
            </w:tcBorders>
            <w:shd w:val="clear" w:color="000000" w:fill="FFFFFF"/>
            <w:noWrap/>
            <w:vAlign w:val="center"/>
            <w:hideMark/>
          </w:tcPr>
          <w:p w14:paraId="54EDD192"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428D9F43"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(4,430)</w:t>
            </w:r>
          </w:p>
        </w:tc>
        <w:tc>
          <w:tcPr>
            <w:tcW w:w="277" w:type="dxa"/>
            <w:tcBorders>
              <w:top w:val="nil"/>
              <w:left w:val="nil"/>
              <w:bottom w:val="nil"/>
              <w:right w:val="nil"/>
            </w:tcBorders>
            <w:shd w:val="clear" w:color="000000" w:fill="FFFFFF"/>
            <w:vAlign w:val="center"/>
            <w:hideMark/>
          </w:tcPr>
          <w:p w14:paraId="4E23A34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83BE81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(4,430)</w:t>
            </w:r>
          </w:p>
        </w:tc>
        <w:tc>
          <w:tcPr>
            <w:tcW w:w="277" w:type="dxa"/>
            <w:tcBorders>
              <w:top w:val="nil"/>
              <w:left w:val="nil"/>
              <w:bottom w:val="nil"/>
              <w:right w:val="nil"/>
            </w:tcBorders>
            <w:shd w:val="clear" w:color="000000" w:fill="FFFFFF"/>
            <w:vAlign w:val="center"/>
            <w:hideMark/>
          </w:tcPr>
          <w:p w14:paraId="3D4443A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7EE524F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(4,430)</w:t>
            </w:r>
          </w:p>
        </w:tc>
      </w:tr>
      <w:tr w:rsidR="00361FA6" w:rsidRPr="00361FA6" w14:paraId="5A530076" w14:textId="77777777" w:rsidTr="00F032FF">
        <w:trPr>
          <w:trHeight w:val="240"/>
        </w:trPr>
        <w:tc>
          <w:tcPr>
            <w:tcW w:w="4336" w:type="dxa"/>
            <w:tcBorders>
              <w:top w:val="nil"/>
              <w:left w:val="nil"/>
              <w:bottom w:val="nil"/>
              <w:right w:val="nil"/>
            </w:tcBorders>
            <w:shd w:val="clear" w:color="000000" w:fill="FFFFFF"/>
            <w:noWrap/>
            <w:vAlign w:val="center"/>
            <w:hideMark/>
          </w:tcPr>
          <w:p w14:paraId="7DA1EB87"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Foreign exchange re</w:t>
            </w:r>
            <w:r w:rsidR="00764613">
              <w:rPr>
                <w:rFonts w:ascii="Calibri" w:hAnsi="Calibri" w:cs="Arial"/>
                <w:szCs w:val="18"/>
                <w:lang w:eastAsia="en-GB"/>
              </w:rPr>
              <w:t>s</w:t>
            </w:r>
            <w:r w:rsidRPr="00361FA6">
              <w:rPr>
                <w:rFonts w:ascii="Calibri" w:hAnsi="Calibri" w:cs="Arial"/>
                <w:szCs w:val="18"/>
                <w:lang w:eastAsia="en-GB"/>
              </w:rPr>
              <w:t>erve</w:t>
            </w:r>
          </w:p>
        </w:tc>
        <w:tc>
          <w:tcPr>
            <w:tcW w:w="648" w:type="dxa"/>
            <w:tcBorders>
              <w:top w:val="nil"/>
              <w:left w:val="nil"/>
              <w:bottom w:val="nil"/>
              <w:right w:val="nil"/>
            </w:tcBorders>
            <w:shd w:val="clear" w:color="000000" w:fill="FFFFFF"/>
            <w:noWrap/>
            <w:vAlign w:val="center"/>
            <w:hideMark/>
          </w:tcPr>
          <w:p w14:paraId="47D59394"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678B6037"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(100)</w:t>
            </w:r>
          </w:p>
        </w:tc>
        <w:tc>
          <w:tcPr>
            <w:tcW w:w="277" w:type="dxa"/>
            <w:tcBorders>
              <w:top w:val="nil"/>
              <w:left w:val="nil"/>
              <w:bottom w:val="nil"/>
              <w:right w:val="nil"/>
            </w:tcBorders>
            <w:shd w:val="clear" w:color="000000" w:fill="FFFFFF"/>
            <w:vAlign w:val="center"/>
            <w:hideMark/>
          </w:tcPr>
          <w:p w14:paraId="68F71AC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6ACC6890"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20 </w:t>
            </w:r>
          </w:p>
        </w:tc>
        <w:tc>
          <w:tcPr>
            <w:tcW w:w="277" w:type="dxa"/>
            <w:tcBorders>
              <w:top w:val="nil"/>
              <w:left w:val="nil"/>
              <w:bottom w:val="nil"/>
              <w:right w:val="nil"/>
            </w:tcBorders>
            <w:shd w:val="clear" w:color="000000" w:fill="FFFFFF"/>
            <w:vAlign w:val="center"/>
            <w:hideMark/>
          </w:tcPr>
          <w:p w14:paraId="3ED455B2"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72E87164"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(118)</w:t>
            </w:r>
          </w:p>
        </w:tc>
      </w:tr>
      <w:tr w:rsidR="00361FA6" w:rsidRPr="00361FA6" w14:paraId="653E3BB2" w14:textId="77777777" w:rsidTr="00F032FF">
        <w:trPr>
          <w:trHeight w:val="240"/>
        </w:trPr>
        <w:tc>
          <w:tcPr>
            <w:tcW w:w="4336" w:type="dxa"/>
            <w:tcBorders>
              <w:top w:val="nil"/>
              <w:left w:val="nil"/>
              <w:bottom w:val="nil"/>
              <w:right w:val="nil"/>
            </w:tcBorders>
            <w:shd w:val="clear" w:color="000000" w:fill="FFFFFF"/>
            <w:noWrap/>
            <w:vAlign w:val="center"/>
            <w:hideMark/>
          </w:tcPr>
          <w:p w14:paraId="3D45A7E0" w14:textId="77777777" w:rsidR="00361FA6" w:rsidRPr="00361FA6" w:rsidRDefault="00361FA6" w:rsidP="00361FA6">
            <w:pPr>
              <w:spacing w:after="0"/>
              <w:rPr>
                <w:rFonts w:ascii="Calibri" w:hAnsi="Calibri" w:cs="Arial"/>
                <w:szCs w:val="18"/>
                <w:lang w:eastAsia="en-GB"/>
              </w:rPr>
            </w:pPr>
            <w:r w:rsidRPr="00361FA6">
              <w:rPr>
                <w:rFonts w:ascii="Calibri" w:hAnsi="Calibri" w:cs="Arial"/>
                <w:szCs w:val="18"/>
                <w:lang w:eastAsia="en-GB"/>
              </w:rPr>
              <w:t>Retained earnings</w:t>
            </w:r>
          </w:p>
        </w:tc>
        <w:tc>
          <w:tcPr>
            <w:tcW w:w="648" w:type="dxa"/>
            <w:tcBorders>
              <w:top w:val="nil"/>
              <w:left w:val="nil"/>
              <w:bottom w:val="nil"/>
              <w:right w:val="nil"/>
            </w:tcBorders>
            <w:shd w:val="clear" w:color="000000" w:fill="FFFFFF"/>
            <w:noWrap/>
            <w:vAlign w:val="center"/>
            <w:hideMark/>
          </w:tcPr>
          <w:p w14:paraId="344623A1"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nil"/>
              <w:left w:val="nil"/>
              <w:bottom w:val="nil"/>
              <w:right w:val="nil"/>
            </w:tcBorders>
            <w:shd w:val="clear" w:color="000000" w:fill="FFFFFF"/>
            <w:vAlign w:val="center"/>
            <w:hideMark/>
          </w:tcPr>
          <w:p w14:paraId="01D19682"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(23,528)</w:t>
            </w:r>
          </w:p>
        </w:tc>
        <w:tc>
          <w:tcPr>
            <w:tcW w:w="277" w:type="dxa"/>
            <w:tcBorders>
              <w:top w:val="nil"/>
              <w:left w:val="nil"/>
              <w:bottom w:val="nil"/>
              <w:right w:val="nil"/>
            </w:tcBorders>
            <w:shd w:val="clear" w:color="000000" w:fill="FFFFFF"/>
            <w:vAlign w:val="center"/>
            <w:hideMark/>
          </w:tcPr>
          <w:p w14:paraId="6087A37C"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nil"/>
              <w:left w:val="nil"/>
              <w:bottom w:val="nil"/>
              <w:right w:val="nil"/>
            </w:tcBorders>
            <w:shd w:val="clear" w:color="000000" w:fill="FFFFFF"/>
            <w:vAlign w:val="center"/>
            <w:hideMark/>
          </w:tcPr>
          <w:p w14:paraId="4E97B6F9"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(19,189)</w:t>
            </w:r>
          </w:p>
        </w:tc>
        <w:tc>
          <w:tcPr>
            <w:tcW w:w="277" w:type="dxa"/>
            <w:tcBorders>
              <w:top w:val="nil"/>
              <w:left w:val="nil"/>
              <w:bottom w:val="nil"/>
              <w:right w:val="nil"/>
            </w:tcBorders>
            <w:shd w:val="clear" w:color="000000" w:fill="FFFFFF"/>
            <w:vAlign w:val="center"/>
            <w:hideMark/>
          </w:tcPr>
          <w:p w14:paraId="2D5340A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nil"/>
              <w:left w:val="nil"/>
              <w:bottom w:val="nil"/>
              <w:right w:val="nil"/>
            </w:tcBorders>
            <w:shd w:val="clear" w:color="000000" w:fill="FFFFFF"/>
            <w:vAlign w:val="center"/>
            <w:hideMark/>
          </w:tcPr>
          <w:p w14:paraId="6DE42A78"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(20,167)</w:t>
            </w:r>
          </w:p>
        </w:tc>
      </w:tr>
      <w:tr w:rsidR="00361FA6" w:rsidRPr="00361FA6" w14:paraId="2D9748BD" w14:textId="77777777" w:rsidTr="00F032FF">
        <w:trPr>
          <w:trHeight w:val="255"/>
        </w:trPr>
        <w:tc>
          <w:tcPr>
            <w:tcW w:w="4336" w:type="dxa"/>
            <w:tcBorders>
              <w:top w:val="nil"/>
              <w:left w:val="nil"/>
              <w:bottom w:val="nil"/>
              <w:right w:val="nil"/>
            </w:tcBorders>
            <w:shd w:val="clear" w:color="000000" w:fill="FFFFFF"/>
            <w:noWrap/>
            <w:vAlign w:val="center"/>
            <w:hideMark/>
          </w:tcPr>
          <w:p w14:paraId="1F85107B" w14:textId="77777777" w:rsidR="00361FA6" w:rsidRPr="00361FA6" w:rsidRDefault="00361FA6" w:rsidP="00361FA6">
            <w:pPr>
              <w:spacing w:after="0"/>
              <w:rPr>
                <w:rFonts w:ascii="Calibri" w:hAnsi="Calibri" w:cs="Arial"/>
                <w:b/>
                <w:bCs/>
                <w:szCs w:val="18"/>
                <w:lang w:eastAsia="en-GB"/>
              </w:rPr>
            </w:pPr>
            <w:r w:rsidRPr="00361FA6">
              <w:rPr>
                <w:rFonts w:ascii="Calibri" w:hAnsi="Calibri" w:cs="Arial"/>
                <w:b/>
                <w:bCs/>
                <w:szCs w:val="18"/>
                <w:lang w:eastAsia="en-GB"/>
              </w:rPr>
              <w:t>Total Equity</w:t>
            </w:r>
          </w:p>
        </w:tc>
        <w:tc>
          <w:tcPr>
            <w:tcW w:w="648" w:type="dxa"/>
            <w:tcBorders>
              <w:top w:val="nil"/>
              <w:left w:val="nil"/>
              <w:bottom w:val="nil"/>
              <w:right w:val="nil"/>
            </w:tcBorders>
            <w:shd w:val="clear" w:color="000000" w:fill="FFFFFF"/>
            <w:noWrap/>
            <w:vAlign w:val="center"/>
            <w:hideMark/>
          </w:tcPr>
          <w:p w14:paraId="4ED5F8FA" w14:textId="77777777" w:rsidR="00361FA6" w:rsidRPr="00361FA6" w:rsidRDefault="00361FA6" w:rsidP="00361FA6">
            <w:pPr>
              <w:spacing w:after="0"/>
              <w:jc w:val="center"/>
              <w:rPr>
                <w:rFonts w:ascii="Calibri" w:hAnsi="Calibri" w:cs="Arial"/>
                <w:szCs w:val="18"/>
                <w:lang w:eastAsia="en-GB"/>
              </w:rPr>
            </w:pPr>
            <w:r w:rsidRPr="00361FA6">
              <w:rPr>
                <w:rFonts w:ascii="Calibri" w:hAnsi="Calibri" w:cs="Arial"/>
                <w:szCs w:val="18"/>
                <w:lang w:eastAsia="en-GB"/>
              </w:rPr>
              <w:t> </w:t>
            </w:r>
          </w:p>
        </w:tc>
        <w:tc>
          <w:tcPr>
            <w:tcW w:w="1472" w:type="dxa"/>
            <w:tcBorders>
              <w:top w:val="single" w:sz="4" w:space="0" w:color="auto"/>
              <w:left w:val="nil"/>
              <w:bottom w:val="double" w:sz="6" w:space="0" w:color="auto"/>
              <w:right w:val="nil"/>
            </w:tcBorders>
            <w:shd w:val="clear" w:color="000000" w:fill="FFFFFF"/>
            <w:vAlign w:val="center"/>
            <w:hideMark/>
          </w:tcPr>
          <w:p w14:paraId="01BD74CD" w14:textId="77777777" w:rsidR="00361FA6" w:rsidRPr="00361FA6" w:rsidRDefault="00361FA6" w:rsidP="00361FA6">
            <w:pPr>
              <w:spacing w:after="0"/>
              <w:jc w:val="right"/>
              <w:rPr>
                <w:rFonts w:ascii="Calibri" w:hAnsi="Calibri" w:cs="Arial"/>
                <w:b/>
                <w:bCs/>
                <w:szCs w:val="18"/>
                <w:lang w:eastAsia="en-GB"/>
              </w:rPr>
            </w:pPr>
            <w:r w:rsidRPr="00361FA6">
              <w:rPr>
                <w:rFonts w:ascii="Calibri" w:hAnsi="Calibri" w:cs="Arial"/>
                <w:b/>
                <w:bCs/>
                <w:szCs w:val="18"/>
                <w:lang w:eastAsia="en-GB"/>
              </w:rPr>
              <w:t xml:space="preserve">790 </w:t>
            </w:r>
          </w:p>
        </w:tc>
        <w:tc>
          <w:tcPr>
            <w:tcW w:w="277" w:type="dxa"/>
            <w:tcBorders>
              <w:top w:val="nil"/>
              <w:left w:val="nil"/>
              <w:bottom w:val="nil"/>
              <w:right w:val="nil"/>
            </w:tcBorders>
            <w:shd w:val="clear" w:color="000000" w:fill="FFFFFF"/>
            <w:vAlign w:val="center"/>
            <w:hideMark/>
          </w:tcPr>
          <w:p w14:paraId="5C36981D"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353" w:type="dxa"/>
            <w:tcBorders>
              <w:top w:val="single" w:sz="4" w:space="0" w:color="auto"/>
              <w:left w:val="nil"/>
              <w:bottom w:val="double" w:sz="6" w:space="0" w:color="auto"/>
              <w:right w:val="nil"/>
            </w:tcBorders>
            <w:shd w:val="clear" w:color="000000" w:fill="FFFFFF"/>
            <w:vAlign w:val="center"/>
            <w:hideMark/>
          </w:tcPr>
          <w:p w14:paraId="357680DB"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4,449 </w:t>
            </w:r>
          </w:p>
        </w:tc>
        <w:tc>
          <w:tcPr>
            <w:tcW w:w="277" w:type="dxa"/>
            <w:tcBorders>
              <w:top w:val="nil"/>
              <w:left w:val="nil"/>
              <w:bottom w:val="nil"/>
              <w:right w:val="nil"/>
            </w:tcBorders>
            <w:shd w:val="clear" w:color="000000" w:fill="FFFFFF"/>
            <w:vAlign w:val="center"/>
            <w:hideMark/>
          </w:tcPr>
          <w:p w14:paraId="1E3A26C1"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w:t>
            </w:r>
          </w:p>
        </w:tc>
        <w:tc>
          <w:tcPr>
            <w:tcW w:w="1469" w:type="dxa"/>
            <w:tcBorders>
              <w:top w:val="single" w:sz="4" w:space="0" w:color="auto"/>
              <w:left w:val="nil"/>
              <w:bottom w:val="double" w:sz="6" w:space="0" w:color="auto"/>
              <w:right w:val="nil"/>
            </w:tcBorders>
            <w:shd w:val="clear" w:color="000000" w:fill="FFFFFF"/>
            <w:vAlign w:val="center"/>
            <w:hideMark/>
          </w:tcPr>
          <w:p w14:paraId="37ED81BF" w14:textId="77777777" w:rsidR="00361FA6" w:rsidRPr="00361FA6" w:rsidRDefault="00361FA6" w:rsidP="00361FA6">
            <w:pPr>
              <w:spacing w:after="0"/>
              <w:jc w:val="right"/>
              <w:rPr>
                <w:rFonts w:ascii="Calibri" w:hAnsi="Calibri" w:cs="Arial"/>
                <w:szCs w:val="18"/>
                <w:lang w:eastAsia="en-GB"/>
              </w:rPr>
            </w:pPr>
            <w:r w:rsidRPr="00361FA6">
              <w:rPr>
                <w:rFonts w:ascii="Calibri" w:hAnsi="Calibri" w:cs="Arial"/>
                <w:szCs w:val="18"/>
                <w:lang w:eastAsia="en-GB"/>
              </w:rPr>
              <w:t xml:space="preserve">3,365 </w:t>
            </w:r>
          </w:p>
        </w:tc>
      </w:tr>
    </w:tbl>
    <w:p w14:paraId="1FCE5806" w14:textId="77777777" w:rsidR="00784641" w:rsidRPr="00B64527" w:rsidRDefault="00784641" w:rsidP="00784641">
      <w:pPr>
        <w:rPr>
          <w:highlight w:val="yellow"/>
        </w:rPr>
      </w:pPr>
    </w:p>
    <w:p w14:paraId="6DA4D63C" w14:textId="77777777" w:rsidR="00361FA6" w:rsidRDefault="00361FA6" w:rsidP="00784641">
      <w:pPr>
        <w:rPr>
          <w:highlight w:val="yellow"/>
        </w:rPr>
      </w:pPr>
    </w:p>
    <w:p w14:paraId="1BC24BA6" w14:textId="77777777" w:rsidR="00F032FF" w:rsidRDefault="00F032FF">
      <w:pPr>
        <w:spacing w:after="160" w:line="259" w:lineRule="auto"/>
        <w:rPr>
          <w:b/>
          <w:sz w:val="22"/>
        </w:rPr>
      </w:pPr>
      <w:r>
        <w:rPr>
          <w:b/>
        </w:rPr>
        <w:br w:type="page"/>
      </w:r>
    </w:p>
    <w:p w14:paraId="4BEC438F" w14:textId="3165718F" w:rsidR="00F032FF" w:rsidRPr="004F7E52" w:rsidRDefault="00F032FF" w:rsidP="00F032FF">
      <w:pPr>
        <w:pStyle w:val="Header"/>
        <w:rPr>
          <w:b/>
        </w:rPr>
      </w:pPr>
      <w:r>
        <w:rPr>
          <w:b/>
        </w:rPr>
        <w:lastRenderedPageBreak/>
        <w:t>7digital</w:t>
      </w:r>
      <w:r w:rsidRPr="004F7E52">
        <w:rPr>
          <w:b/>
        </w:rPr>
        <w:t xml:space="preserve"> Group plc</w:t>
      </w:r>
    </w:p>
    <w:p w14:paraId="41E8A6F5" w14:textId="77777777" w:rsidR="00F032FF" w:rsidRDefault="00F032FF" w:rsidP="00F032FF">
      <w:pPr>
        <w:pStyle w:val="Header"/>
        <w:rPr>
          <w:b/>
        </w:rPr>
      </w:pPr>
      <w:r>
        <w:rPr>
          <w:b/>
        </w:rPr>
        <w:t>Condensed consolidated cash flow statement</w:t>
      </w:r>
    </w:p>
    <w:p w14:paraId="1559CEF6" w14:textId="77777777" w:rsidR="00F032FF" w:rsidRDefault="00F032FF" w:rsidP="00F032FF">
      <w:pPr>
        <w:pStyle w:val="Header"/>
        <w:rPr>
          <w:b/>
        </w:rPr>
      </w:pPr>
      <w:r>
        <w:rPr>
          <w:b/>
        </w:rPr>
        <w:t>Six months ended 30 June 2016 (unaudited)</w:t>
      </w:r>
    </w:p>
    <w:tbl>
      <w:tblPr>
        <w:tblW w:w="9502" w:type="dxa"/>
        <w:tblInd w:w="108" w:type="dxa"/>
        <w:tblLook w:val="04A0" w:firstRow="1" w:lastRow="0" w:firstColumn="1" w:lastColumn="0" w:noHBand="0" w:noVBand="1"/>
      </w:tblPr>
      <w:tblGrid>
        <w:gridCol w:w="4236"/>
        <w:gridCol w:w="756"/>
        <w:gridCol w:w="1464"/>
        <w:gridCol w:w="276"/>
        <w:gridCol w:w="1308"/>
        <w:gridCol w:w="257"/>
        <w:gridCol w:w="1205"/>
      </w:tblGrid>
      <w:tr w:rsidR="00E2415E" w:rsidRPr="00E2415E" w14:paraId="1C07E4B0" w14:textId="77777777" w:rsidTr="00F032FF">
        <w:trPr>
          <w:trHeight w:val="720"/>
        </w:trPr>
        <w:tc>
          <w:tcPr>
            <w:tcW w:w="4236" w:type="dxa"/>
            <w:tcBorders>
              <w:top w:val="nil"/>
              <w:left w:val="nil"/>
              <w:bottom w:val="nil"/>
              <w:right w:val="nil"/>
            </w:tcBorders>
            <w:shd w:val="clear" w:color="000000" w:fill="FFFFFF"/>
            <w:noWrap/>
            <w:vAlign w:val="bottom"/>
            <w:hideMark/>
          </w:tcPr>
          <w:p w14:paraId="234E559E"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 </w:t>
            </w:r>
          </w:p>
        </w:tc>
        <w:tc>
          <w:tcPr>
            <w:tcW w:w="756" w:type="dxa"/>
            <w:tcBorders>
              <w:top w:val="nil"/>
              <w:left w:val="nil"/>
              <w:bottom w:val="nil"/>
              <w:right w:val="nil"/>
            </w:tcBorders>
            <w:shd w:val="clear" w:color="000000" w:fill="FFFFFF"/>
            <w:noWrap/>
            <w:vAlign w:val="bottom"/>
            <w:hideMark/>
          </w:tcPr>
          <w:p w14:paraId="0F3757FB"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Notes</w:t>
            </w:r>
          </w:p>
        </w:tc>
        <w:tc>
          <w:tcPr>
            <w:tcW w:w="1464" w:type="dxa"/>
            <w:tcBorders>
              <w:top w:val="nil"/>
              <w:left w:val="nil"/>
              <w:bottom w:val="nil"/>
              <w:right w:val="nil"/>
            </w:tcBorders>
            <w:shd w:val="clear" w:color="000000" w:fill="FFFFFF"/>
            <w:vAlign w:val="bottom"/>
            <w:hideMark/>
          </w:tcPr>
          <w:p w14:paraId="5936F9E5"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Unaudited six months ended 30 June 2016</w:t>
            </w:r>
          </w:p>
        </w:tc>
        <w:tc>
          <w:tcPr>
            <w:tcW w:w="276" w:type="dxa"/>
            <w:tcBorders>
              <w:top w:val="nil"/>
              <w:left w:val="nil"/>
              <w:bottom w:val="nil"/>
              <w:right w:val="nil"/>
            </w:tcBorders>
            <w:shd w:val="clear" w:color="000000" w:fill="FFFFFF"/>
            <w:noWrap/>
            <w:vAlign w:val="bottom"/>
            <w:hideMark/>
          </w:tcPr>
          <w:p w14:paraId="2D1DAB7F"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center"/>
            <w:hideMark/>
          </w:tcPr>
          <w:p w14:paraId="6648F0CA"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Unaudited six months ended 30 June 2015</w:t>
            </w:r>
          </w:p>
        </w:tc>
        <w:tc>
          <w:tcPr>
            <w:tcW w:w="257" w:type="dxa"/>
            <w:tcBorders>
              <w:top w:val="nil"/>
              <w:left w:val="nil"/>
              <w:bottom w:val="nil"/>
              <w:right w:val="nil"/>
            </w:tcBorders>
            <w:shd w:val="clear" w:color="000000" w:fill="FFFFFF"/>
            <w:vAlign w:val="center"/>
            <w:hideMark/>
          </w:tcPr>
          <w:p w14:paraId="174A646E"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205" w:type="dxa"/>
            <w:tcBorders>
              <w:top w:val="nil"/>
              <w:left w:val="nil"/>
              <w:bottom w:val="nil"/>
              <w:right w:val="nil"/>
            </w:tcBorders>
            <w:shd w:val="clear" w:color="000000" w:fill="FFFFFF"/>
            <w:vAlign w:val="center"/>
            <w:hideMark/>
          </w:tcPr>
          <w:p w14:paraId="1BFB8AC8"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Audited full year ended 31 Dec  2015</w:t>
            </w:r>
          </w:p>
        </w:tc>
      </w:tr>
      <w:tr w:rsidR="00E2415E" w:rsidRPr="00E2415E" w14:paraId="10FF38A9" w14:textId="77777777" w:rsidTr="00F032FF">
        <w:trPr>
          <w:trHeight w:val="240"/>
        </w:trPr>
        <w:tc>
          <w:tcPr>
            <w:tcW w:w="4236" w:type="dxa"/>
            <w:tcBorders>
              <w:top w:val="nil"/>
              <w:left w:val="nil"/>
              <w:bottom w:val="nil"/>
              <w:right w:val="nil"/>
            </w:tcBorders>
            <w:shd w:val="clear" w:color="000000" w:fill="FFFFFF"/>
            <w:noWrap/>
            <w:vAlign w:val="bottom"/>
            <w:hideMark/>
          </w:tcPr>
          <w:p w14:paraId="75DCF918"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 </w:t>
            </w:r>
          </w:p>
        </w:tc>
        <w:tc>
          <w:tcPr>
            <w:tcW w:w="756" w:type="dxa"/>
            <w:tcBorders>
              <w:top w:val="nil"/>
              <w:left w:val="nil"/>
              <w:bottom w:val="nil"/>
              <w:right w:val="nil"/>
            </w:tcBorders>
            <w:shd w:val="clear" w:color="000000" w:fill="FFFFFF"/>
            <w:noWrap/>
            <w:vAlign w:val="bottom"/>
            <w:hideMark/>
          </w:tcPr>
          <w:p w14:paraId="394D00A9"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noWrap/>
            <w:vAlign w:val="bottom"/>
            <w:hideMark/>
          </w:tcPr>
          <w:p w14:paraId="5A1F1F72"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£'000</w:t>
            </w:r>
          </w:p>
        </w:tc>
        <w:tc>
          <w:tcPr>
            <w:tcW w:w="276" w:type="dxa"/>
            <w:tcBorders>
              <w:top w:val="nil"/>
              <w:left w:val="nil"/>
              <w:bottom w:val="nil"/>
              <w:right w:val="nil"/>
            </w:tcBorders>
            <w:shd w:val="clear" w:color="000000" w:fill="FFFFFF"/>
            <w:noWrap/>
            <w:vAlign w:val="bottom"/>
            <w:hideMark/>
          </w:tcPr>
          <w:p w14:paraId="77064043"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noWrap/>
            <w:vAlign w:val="bottom"/>
            <w:hideMark/>
          </w:tcPr>
          <w:p w14:paraId="45DC411A"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£'000</w:t>
            </w:r>
          </w:p>
        </w:tc>
        <w:tc>
          <w:tcPr>
            <w:tcW w:w="257" w:type="dxa"/>
            <w:tcBorders>
              <w:top w:val="nil"/>
              <w:left w:val="nil"/>
              <w:bottom w:val="nil"/>
              <w:right w:val="nil"/>
            </w:tcBorders>
            <w:shd w:val="clear" w:color="000000" w:fill="FFFFFF"/>
            <w:noWrap/>
            <w:vAlign w:val="bottom"/>
            <w:hideMark/>
          </w:tcPr>
          <w:p w14:paraId="2DBA588A"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w:t>
            </w:r>
          </w:p>
        </w:tc>
        <w:tc>
          <w:tcPr>
            <w:tcW w:w="1205" w:type="dxa"/>
            <w:tcBorders>
              <w:top w:val="nil"/>
              <w:left w:val="nil"/>
              <w:bottom w:val="nil"/>
              <w:right w:val="nil"/>
            </w:tcBorders>
            <w:shd w:val="clear" w:color="000000" w:fill="FFFFFF"/>
            <w:noWrap/>
            <w:vAlign w:val="bottom"/>
            <w:hideMark/>
          </w:tcPr>
          <w:p w14:paraId="60E374A8"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£'000</w:t>
            </w:r>
          </w:p>
        </w:tc>
      </w:tr>
      <w:tr w:rsidR="00E2415E" w:rsidRPr="00E2415E" w14:paraId="55FD0D78" w14:textId="77777777" w:rsidTr="00F032FF">
        <w:trPr>
          <w:trHeight w:val="240"/>
        </w:trPr>
        <w:tc>
          <w:tcPr>
            <w:tcW w:w="4236" w:type="dxa"/>
            <w:tcBorders>
              <w:top w:val="nil"/>
              <w:left w:val="nil"/>
              <w:bottom w:val="nil"/>
              <w:right w:val="nil"/>
            </w:tcBorders>
            <w:shd w:val="clear" w:color="000000" w:fill="FFFFFF"/>
            <w:noWrap/>
            <w:vAlign w:val="bottom"/>
            <w:hideMark/>
          </w:tcPr>
          <w:p w14:paraId="2A2D66E4"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 </w:t>
            </w:r>
          </w:p>
        </w:tc>
        <w:tc>
          <w:tcPr>
            <w:tcW w:w="756" w:type="dxa"/>
            <w:tcBorders>
              <w:top w:val="nil"/>
              <w:left w:val="nil"/>
              <w:bottom w:val="nil"/>
              <w:right w:val="nil"/>
            </w:tcBorders>
            <w:shd w:val="clear" w:color="000000" w:fill="FFFFFF"/>
            <w:noWrap/>
            <w:vAlign w:val="bottom"/>
            <w:hideMark/>
          </w:tcPr>
          <w:p w14:paraId="2AD0F4D9"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noWrap/>
            <w:vAlign w:val="bottom"/>
            <w:hideMark/>
          </w:tcPr>
          <w:p w14:paraId="2D4DEF44"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w:t>
            </w:r>
          </w:p>
        </w:tc>
        <w:tc>
          <w:tcPr>
            <w:tcW w:w="276" w:type="dxa"/>
            <w:tcBorders>
              <w:top w:val="nil"/>
              <w:left w:val="nil"/>
              <w:bottom w:val="nil"/>
              <w:right w:val="nil"/>
            </w:tcBorders>
            <w:shd w:val="clear" w:color="000000" w:fill="FFFFFF"/>
            <w:noWrap/>
            <w:vAlign w:val="bottom"/>
            <w:hideMark/>
          </w:tcPr>
          <w:p w14:paraId="21E0D3A7"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noWrap/>
            <w:vAlign w:val="bottom"/>
            <w:hideMark/>
          </w:tcPr>
          <w:p w14:paraId="4924803D"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257" w:type="dxa"/>
            <w:tcBorders>
              <w:top w:val="nil"/>
              <w:left w:val="nil"/>
              <w:bottom w:val="nil"/>
              <w:right w:val="nil"/>
            </w:tcBorders>
            <w:shd w:val="clear" w:color="000000" w:fill="FFFFFF"/>
            <w:noWrap/>
            <w:vAlign w:val="bottom"/>
            <w:hideMark/>
          </w:tcPr>
          <w:p w14:paraId="18588472"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noWrap/>
            <w:vAlign w:val="bottom"/>
            <w:hideMark/>
          </w:tcPr>
          <w:p w14:paraId="16DDCC8D"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r>
      <w:tr w:rsidR="00E2415E" w:rsidRPr="00E2415E" w14:paraId="53C8DF5D" w14:textId="77777777" w:rsidTr="00F032FF">
        <w:trPr>
          <w:trHeight w:val="240"/>
        </w:trPr>
        <w:tc>
          <w:tcPr>
            <w:tcW w:w="4236" w:type="dxa"/>
            <w:tcBorders>
              <w:top w:val="nil"/>
              <w:left w:val="nil"/>
              <w:bottom w:val="nil"/>
              <w:right w:val="nil"/>
            </w:tcBorders>
            <w:shd w:val="clear" w:color="000000" w:fill="FFFFFF"/>
            <w:noWrap/>
            <w:vAlign w:val="bottom"/>
            <w:hideMark/>
          </w:tcPr>
          <w:p w14:paraId="67FAA309"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Loss for the period</w:t>
            </w:r>
          </w:p>
        </w:tc>
        <w:tc>
          <w:tcPr>
            <w:tcW w:w="756" w:type="dxa"/>
            <w:tcBorders>
              <w:top w:val="nil"/>
              <w:left w:val="nil"/>
              <w:bottom w:val="nil"/>
              <w:right w:val="nil"/>
            </w:tcBorders>
            <w:shd w:val="clear" w:color="000000" w:fill="FFFFFF"/>
            <w:noWrap/>
            <w:vAlign w:val="bottom"/>
            <w:hideMark/>
          </w:tcPr>
          <w:p w14:paraId="154D866F"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5A2B14F5"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(3,220)</w:t>
            </w:r>
          </w:p>
        </w:tc>
        <w:tc>
          <w:tcPr>
            <w:tcW w:w="276" w:type="dxa"/>
            <w:tcBorders>
              <w:top w:val="nil"/>
              <w:left w:val="nil"/>
              <w:bottom w:val="nil"/>
              <w:right w:val="nil"/>
            </w:tcBorders>
            <w:shd w:val="clear" w:color="000000" w:fill="FFFFFF"/>
            <w:noWrap/>
            <w:vAlign w:val="bottom"/>
            <w:hideMark/>
          </w:tcPr>
          <w:p w14:paraId="41CFE387"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5F589ACB"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(6,632)</w:t>
            </w:r>
          </w:p>
        </w:tc>
        <w:tc>
          <w:tcPr>
            <w:tcW w:w="257" w:type="dxa"/>
            <w:tcBorders>
              <w:top w:val="nil"/>
              <w:left w:val="nil"/>
              <w:bottom w:val="nil"/>
              <w:right w:val="nil"/>
            </w:tcBorders>
            <w:shd w:val="clear" w:color="000000" w:fill="FFFFFF"/>
            <w:vAlign w:val="bottom"/>
            <w:hideMark/>
          </w:tcPr>
          <w:p w14:paraId="6537350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11FA8B90"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(7,913)</w:t>
            </w:r>
          </w:p>
        </w:tc>
      </w:tr>
      <w:tr w:rsidR="00E2415E" w:rsidRPr="00E2415E" w14:paraId="2CD77B15" w14:textId="77777777" w:rsidTr="00F032FF">
        <w:trPr>
          <w:trHeight w:val="240"/>
        </w:trPr>
        <w:tc>
          <w:tcPr>
            <w:tcW w:w="4236" w:type="dxa"/>
            <w:tcBorders>
              <w:top w:val="nil"/>
              <w:left w:val="nil"/>
              <w:bottom w:val="nil"/>
              <w:right w:val="nil"/>
            </w:tcBorders>
            <w:shd w:val="clear" w:color="000000" w:fill="FFFFFF"/>
            <w:noWrap/>
            <w:vAlign w:val="bottom"/>
            <w:hideMark/>
          </w:tcPr>
          <w:p w14:paraId="5C2DDAA2"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Adjustments for:</w:t>
            </w:r>
          </w:p>
        </w:tc>
        <w:tc>
          <w:tcPr>
            <w:tcW w:w="756" w:type="dxa"/>
            <w:tcBorders>
              <w:top w:val="nil"/>
              <w:left w:val="nil"/>
              <w:bottom w:val="nil"/>
              <w:right w:val="nil"/>
            </w:tcBorders>
            <w:shd w:val="clear" w:color="000000" w:fill="FFFFFF"/>
            <w:noWrap/>
            <w:vAlign w:val="bottom"/>
            <w:hideMark/>
          </w:tcPr>
          <w:p w14:paraId="66296F9C"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5EABB00D"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w:t>
            </w:r>
          </w:p>
        </w:tc>
        <w:tc>
          <w:tcPr>
            <w:tcW w:w="276" w:type="dxa"/>
            <w:tcBorders>
              <w:top w:val="nil"/>
              <w:left w:val="nil"/>
              <w:bottom w:val="nil"/>
              <w:right w:val="nil"/>
            </w:tcBorders>
            <w:shd w:val="clear" w:color="000000" w:fill="FFFFFF"/>
            <w:noWrap/>
            <w:vAlign w:val="bottom"/>
            <w:hideMark/>
          </w:tcPr>
          <w:p w14:paraId="7B8DD0A4"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0A8A0F5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257" w:type="dxa"/>
            <w:tcBorders>
              <w:top w:val="nil"/>
              <w:left w:val="nil"/>
              <w:bottom w:val="nil"/>
              <w:right w:val="nil"/>
            </w:tcBorders>
            <w:shd w:val="clear" w:color="000000" w:fill="FFFFFF"/>
            <w:vAlign w:val="bottom"/>
            <w:hideMark/>
          </w:tcPr>
          <w:p w14:paraId="6D7AC4C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19DC2080"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r>
      <w:tr w:rsidR="00E2415E" w:rsidRPr="00E2415E" w14:paraId="2BC8BD1F" w14:textId="77777777" w:rsidTr="00F032FF">
        <w:trPr>
          <w:trHeight w:val="240"/>
        </w:trPr>
        <w:tc>
          <w:tcPr>
            <w:tcW w:w="4236" w:type="dxa"/>
            <w:tcBorders>
              <w:top w:val="nil"/>
              <w:left w:val="nil"/>
              <w:bottom w:val="nil"/>
              <w:right w:val="nil"/>
            </w:tcBorders>
            <w:shd w:val="clear" w:color="000000" w:fill="FFFFFF"/>
            <w:noWrap/>
            <w:vAlign w:val="bottom"/>
            <w:hideMark/>
          </w:tcPr>
          <w:p w14:paraId="6199B163"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Taxation</w:t>
            </w:r>
          </w:p>
        </w:tc>
        <w:tc>
          <w:tcPr>
            <w:tcW w:w="756" w:type="dxa"/>
            <w:tcBorders>
              <w:top w:val="nil"/>
              <w:left w:val="nil"/>
              <w:bottom w:val="nil"/>
              <w:right w:val="nil"/>
            </w:tcBorders>
            <w:shd w:val="clear" w:color="000000" w:fill="FFFFFF"/>
            <w:noWrap/>
            <w:vAlign w:val="bottom"/>
            <w:hideMark/>
          </w:tcPr>
          <w:p w14:paraId="60371E38"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3D8F42D4"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46 </w:t>
            </w:r>
          </w:p>
        </w:tc>
        <w:tc>
          <w:tcPr>
            <w:tcW w:w="276" w:type="dxa"/>
            <w:tcBorders>
              <w:top w:val="nil"/>
              <w:left w:val="nil"/>
              <w:bottom w:val="nil"/>
              <w:right w:val="nil"/>
            </w:tcBorders>
            <w:shd w:val="clear" w:color="000000" w:fill="FFFFFF"/>
            <w:noWrap/>
            <w:vAlign w:val="bottom"/>
            <w:hideMark/>
          </w:tcPr>
          <w:p w14:paraId="3C039BDA"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717ED60E"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10 </w:t>
            </w:r>
          </w:p>
        </w:tc>
        <w:tc>
          <w:tcPr>
            <w:tcW w:w="257" w:type="dxa"/>
            <w:tcBorders>
              <w:top w:val="nil"/>
              <w:left w:val="nil"/>
              <w:bottom w:val="nil"/>
              <w:right w:val="nil"/>
            </w:tcBorders>
            <w:shd w:val="clear" w:color="000000" w:fill="FFFFFF"/>
            <w:vAlign w:val="bottom"/>
            <w:hideMark/>
          </w:tcPr>
          <w:p w14:paraId="29E6CB7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1617D811"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3 </w:t>
            </w:r>
          </w:p>
        </w:tc>
      </w:tr>
      <w:tr w:rsidR="00E2415E" w:rsidRPr="00E2415E" w14:paraId="450E1D95" w14:textId="77777777" w:rsidTr="00F032FF">
        <w:trPr>
          <w:trHeight w:val="240"/>
        </w:trPr>
        <w:tc>
          <w:tcPr>
            <w:tcW w:w="4236" w:type="dxa"/>
            <w:tcBorders>
              <w:top w:val="nil"/>
              <w:left w:val="nil"/>
              <w:bottom w:val="nil"/>
              <w:right w:val="nil"/>
            </w:tcBorders>
            <w:shd w:val="clear" w:color="000000" w:fill="FFFFFF"/>
            <w:noWrap/>
            <w:vAlign w:val="bottom"/>
            <w:hideMark/>
          </w:tcPr>
          <w:p w14:paraId="4F0C29E6"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Interest</w:t>
            </w:r>
          </w:p>
        </w:tc>
        <w:tc>
          <w:tcPr>
            <w:tcW w:w="756" w:type="dxa"/>
            <w:tcBorders>
              <w:top w:val="nil"/>
              <w:left w:val="nil"/>
              <w:bottom w:val="nil"/>
              <w:right w:val="nil"/>
            </w:tcBorders>
            <w:shd w:val="clear" w:color="000000" w:fill="FFFFFF"/>
            <w:noWrap/>
            <w:vAlign w:val="bottom"/>
            <w:hideMark/>
          </w:tcPr>
          <w:p w14:paraId="20B03C04"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23FB28AA"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(6)</w:t>
            </w:r>
          </w:p>
        </w:tc>
        <w:tc>
          <w:tcPr>
            <w:tcW w:w="276" w:type="dxa"/>
            <w:tcBorders>
              <w:top w:val="nil"/>
              <w:left w:val="nil"/>
              <w:bottom w:val="nil"/>
              <w:right w:val="nil"/>
            </w:tcBorders>
            <w:shd w:val="clear" w:color="000000" w:fill="FFFFFF"/>
            <w:noWrap/>
            <w:vAlign w:val="bottom"/>
            <w:hideMark/>
          </w:tcPr>
          <w:p w14:paraId="7553D8F9"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2CB7B2C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(10)</w:t>
            </w:r>
          </w:p>
        </w:tc>
        <w:tc>
          <w:tcPr>
            <w:tcW w:w="257" w:type="dxa"/>
            <w:tcBorders>
              <w:top w:val="nil"/>
              <w:left w:val="nil"/>
              <w:bottom w:val="nil"/>
              <w:right w:val="nil"/>
            </w:tcBorders>
            <w:shd w:val="clear" w:color="000000" w:fill="FFFFFF"/>
            <w:vAlign w:val="bottom"/>
            <w:hideMark/>
          </w:tcPr>
          <w:p w14:paraId="1E5272E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5C0EF65C"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(11)</w:t>
            </w:r>
          </w:p>
        </w:tc>
      </w:tr>
      <w:tr w:rsidR="00E2415E" w:rsidRPr="00E2415E" w14:paraId="1D2EE9D0" w14:textId="77777777" w:rsidTr="00F032FF">
        <w:trPr>
          <w:trHeight w:val="240"/>
        </w:trPr>
        <w:tc>
          <w:tcPr>
            <w:tcW w:w="4236" w:type="dxa"/>
            <w:tcBorders>
              <w:top w:val="nil"/>
              <w:left w:val="nil"/>
              <w:bottom w:val="nil"/>
              <w:right w:val="nil"/>
            </w:tcBorders>
            <w:shd w:val="clear" w:color="000000" w:fill="FFFFFF"/>
            <w:noWrap/>
            <w:vAlign w:val="bottom"/>
            <w:hideMark/>
          </w:tcPr>
          <w:p w14:paraId="4991C820"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Foreign Exchange</w:t>
            </w:r>
          </w:p>
        </w:tc>
        <w:tc>
          <w:tcPr>
            <w:tcW w:w="756" w:type="dxa"/>
            <w:tcBorders>
              <w:top w:val="nil"/>
              <w:left w:val="nil"/>
              <w:bottom w:val="nil"/>
              <w:right w:val="nil"/>
            </w:tcBorders>
            <w:shd w:val="clear" w:color="000000" w:fill="FFFFFF"/>
            <w:noWrap/>
            <w:vAlign w:val="bottom"/>
            <w:hideMark/>
          </w:tcPr>
          <w:p w14:paraId="78B75C26"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2D57068E"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(196)</w:t>
            </w:r>
          </w:p>
        </w:tc>
        <w:tc>
          <w:tcPr>
            <w:tcW w:w="276" w:type="dxa"/>
            <w:tcBorders>
              <w:top w:val="nil"/>
              <w:left w:val="nil"/>
              <w:bottom w:val="nil"/>
              <w:right w:val="nil"/>
            </w:tcBorders>
            <w:shd w:val="clear" w:color="000000" w:fill="FFFFFF"/>
            <w:noWrap/>
            <w:vAlign w:val="bottom"/>
            <w:hideMark/>
          </w:tcPr>
          <w:p w14:paraId="7EA34D06"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59CEDE6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36 </w:t>
            </w:r>
          </w:p>
        </w:tc>
        <w:tc>
          <w:tcPr>
            <w:tcW w:w="257" w:type="dxa"/>
            <w:tcBorders>
              <w:top w:val="nil"/>
              <w:left w:val="nil"/>
              <w:bottom w:val="nil"/>
              <w:right w:val="nil"/>
            </w:tcBorders>
            <w:shd w:val="clear" w:color="000000" w:fill="FFFFFF"/>
            <w:vAlign w:val="bottom"/>
            <w:hideMark/>
          </w:tcPr>
          <w:p w14:paraId="7037261A"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0EBDA9FC"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  </w:t>
            </w:r>
          </w:p>
        </w:tc>
      </w:tr>
      <w:tr w:rsidR="00E2415E" w:rsidRPr="00E2415E" w14:paraId="0D035F00" w14:textId="77777777" w:rsidTr="00F032FF">
        <w:trPr>
          <w:trHeight w:val="240"/>
        </w:trPr>
        <w:tc>
          <w:tcPr>
            <w:tcW w:w="4236" w:type="dxa"/>
            <w:tcBorders>
              <w:top w:val="nil"/>
              <w:left w:val="nil"/>
              <w:bottom w:val="nil"/>
              <w:right w:val="nil"/>
            </w:tcBorders>
            <w:shd w:val="clear" w:color="000000" w:fill="FFFFFF"/>
            <w:noWrap/>
            <w:vAlign w:val="bottom"/>
            <w:hideMark/>
          </w:tcPr>
          <w:p w14:paraId="2BCC8C0F"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Amortisation of intangible assets</w:t>
            </w:r>
          </w:p>
        </w:tc>
        <w:tc>
          <w:tcPr>
            <w:tcW w:w="756" w:type="dxa"/>
            <w:tcBorders>
              <w:top w:val="nil"/>
              <w:left w:val="nil"/>
              <w:bottom w:val="nil"/>
              <w:right w:val="nil"/>
            </w:tcBorders>
            <w:shd w:val="clear" w:color="000000" w:fill="FFFFFF"/>
            <w:noWrap/>
            <w:vAlign w:val="bottom"/>
            <w:hideMark/>
          </w:tcPr>
          <w:p w14:paraId="6125D777"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03C7DD08" w14:textId="77777777" w:rsidR="002E53D4" w:rsidRDefault="00E2415E">
            <w:pPr>
              <w:spacing w:after="0"/>
              <w:jc w:val="right"/>
              <w:rPr>
                <w:rFonts w:ascii="Calibri" w:hAnsi="Calibri" w:cs="Arial"/>
                <w:b/>
                <w:bCs/>
                <w:szCs w:val="18"/>
                <w:lang w:eastAsia="en-GB"/>
              </w:rPr>
            </w:pPr>
            <w:r w:rsidRPr="00E2415E">
              <w:rPr>
                <w:rFonts w:ascii="Calibri" w:hAnsi="Calibri" w:cs="Arial"/>
                <w:b/>
                <w:bCs/>
                <w:szCs w:val="18"/>
                <w:lang w:eastAsia="en-GB"/>
              </w:rPr>
              <w:t>31</w:t>
            </w:r>
            <w:r w:rsidR="00451645">
              <w:rPr>
                <w:rFonts w:ascii="Calibri" w:hAnsi="Calibri" w:cs="Arial"/>
                <w:b/>
                <w:bCs/>
                <w:szCs w:val="18"/>
                <w:lang w:eastAsia="en-GB"/>
              </w:rPr>
              <w:t>4</w:t>
            </w:r>
            <w:r w:rsidRPr="00E2415E">
              <w:rPr>
                <w:rFonts w:ascii="Calibri" w:hAnsi="Calibri" w:cs="Arial"/>
                <w:b/>
                <w:bCs/>
                <w:szCs w:val="18"/>
                <w:lang w:eastAsia="en-GB"/>
              </w:rPr>
              <w:t xml:space="preserve"> </w:t>
            </w:r>
          </w:p>
        </w:tc>
        <w:tc>
          <w:tcPr>
            <w:tcW w:w="276" w:type="dxa"/>
            <w:tcBorders>
              <w:top w:val="nil"/>
              <w:left w:val="nil"/>
              <w:bottom w:val="nil"/>
              <w:right w:val="nil"/>
            </w:tcBorders>
            <w:shd w:val="clear" w:color="000000" w:fill="FFFFFF"/>
            <w:noWrap/>
            <w:vAlign w:val="bottom"/>
            <w:hideMark/>
          </w:tcPr>
          <w:p w14:paraId="2577257E"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66E6255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125 </w:t>
            </w:r>
          </w:p>
        </w:tc>
        <w:tc>
          <w:tcPr>
            <w:tcW w:w="257" w:type="dxa"/>
            <w:tcBorders>
              <w:top w:val="nil"/>
              <w:left w:val="nil"/>
              <w:bottom w:val="nil"/>
              <w:right w:val="nil"/>
            </w:tcBorders>
            <w:shd w:val="clear" w:color="000000" w:fill="FFFFFF"/>
            <w:vAlign w:val="bottom"/>
            <w:hideMark/>
          </w:tcPr>
          <w:p w14:paraId="26338141"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20F25DC0"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277 </w:t>
            </w:r>
          </w:p>
        </w:tc>
      </w:tr>
      <w:tr w:rsidR="00E2415E" w:rsidRPr="00E2415E" w14:paraId="747B0D44" w14:textId="77777777" w:rsidTr="00F032FF">
        <w:trPr>
          <w:trHeight w:val="240"/>
        </w:trPr>
        <w:tc>
          <w:tcPr>
            <w:tcW w:w="4236" w:type="dxa"/>
            <w:tcBorders>
              <w:top w:val="nil"/>
              <w:left w:val="nil"/>
              <w:bottom w:val="nil"/>
              <w:right w:val="nil"/>
            </w:tcBorders>
            <w:shd w:val="clear" w:color="000000" w:fill="FFFFFF"/>
            <w:noWrap/>
            <w:vAlign w:val="bottom"/>
            <w:hideMark/>
          </w:tcPr>
          <w:p w14:paraId="55604B14"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Depreciation of fixed assets</w:t>
            </w:r>
          </w:p>
        </w:tc>
        <w:tc>
          <w:tcPr>
            <w:tcW w:w="756" w:type="dxa"/>
            <w:tcBorders>
              <w:top w:val="nil"/>
              <w:left w:val="nil"/>
              <w:bottom w:val="nil"/>
              <w:right w:val="nil"/>
            </w:tcBorders>
            <w:shd w:val="clear" w:color="000000" w:fill="FFFFFF"/>
            <w:noWrap/>
            <w:vAlign w:val="bottom"/>
            <w:hideMark/>
          </w:tcPr>
          <w:p w14:paraId="6A2D346D"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63412498"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189 </w:t>
            </w:r>
          </w:p>
        </w:tc>
        <w:tc>
          <w:tcPr>
            <w:tcW w:w="276" w:type="dxa"/>
            <w:tcBorders>
              <w:top w:val="nil"/>
              <w:left w:val="nil"/>
              <w:bottom w:val="nil"/>
              <w:right w:val="nil"/>
            </w:tcBorders>
            <w:shd w:val="clear" w:color="000000" w:fill="FFFFFF"/>
            <w:noWrap/>
            <w:vAlign w:val="bottom"/>
            <w:hideMark/>
          </w:tcPr>
          <w:p w14:paraId="5525C3BE"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24D338C6"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256 </w:t>
            </w:r>
          </w:p>
        </w:tc>
        <w:tc>
          <w:tcPr>
            <w:tcW w:w="257" w:type="dxa"/>
            <w:tcBorders>
              <w:top w:val="nil"/>
              <w:left w:val="nil"/>
              <w:bottom w:val="nil"/>
              <w:right w:val="nil"/>
            </w:tcBorders>
            <w:shd w:val="clear" w:color="000000" w:fill="FFFFFF"/>
            <w:vAlign w:val="bottom"/>
            <w:hideMark/>
          </w:tcPr>
          <w:p w14:paraId="5635DB3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6B27E4A2"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484 </w:t>
            </w:r>
          </w:p>
        </w:tc>
      </w:tr>
      <w:tr w:rsidR="00E2415E" w:rsidRPr="00E2415E" w14:paraId="6B87DA81" w14:textId="77777777" w:rsidTr="00F032FF">
        <w:trPr>
          <w:trHeight w:val="240"/>
        </w:trPr>
        <w:tc>
          <w:tcPr>
            <w:tcW w:w="4236" w:type="dxa"/>
            <w:tcBorders>
              <w:top w:val="nil"/>
              <w:left w:val="nil"/>
              <w:bottom w:val="nil"/>
              <w:right w:val="nil"/>
            </w:tcBorders>
            <w:shd w:val="clear" w:color="000000" w:fill="FFFFFF"/>
            <w:noWrap/>
            <w:vAlign w:val="bottom"/>
            <w:hideMark/>
          </w:tcPr>
          <w:p w14:paraId="2FB8D1A1"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Loss on sale of asset</w:t>
            </w:r>
          </w:p>
        </w:tc>
        <w:tc>
          <w:tcPr>
            <w:tcW w:w="756" w:type="dxa"/>
            <w:tcBorders>
              <w:top w:val="nil"/>
              <w:left w:val="nil"/>
              <w:bottom w:val="nil"/>
              <w:right w:val="nil"/>
            </w:tcBorders>
            <w:shd w:val="clear" w:color="000000" w:fill="FFFFFF"/>
            <w:noWrap/>
            <w:vAlign w:val="bottom"/>
            <w:hideMark/>
          </w:tcPr>
          <w:p w14:paraId="604EE4EE" w14:textId="77777777" w:rsidR="00E2415E" w:rsidRPr="00E2415E" w:rsidRDefault="003105FC" w:rsidP="00E2415E">
            <w:pPr>
              <w:spacing w:after="0"/>
              <w:jc w:val="center"/>
              <w:rPr>
                <w:rFonts w:ascii="Calibri" w:hAnsi="Calibri" w:cs="Arial"/>
                <w:szCs w:val="18"/>
                <w:lang w:eastAsia="en-GB"/>
              </w:rPr>
            </w:pPr>
            <w:r>
              <w:rPr>
                <w:rFonts w:ascii="Calibri" w:hAnsi="Calibri" w:cs="Arial"/>
                <w:szCs w:val="18"/>
                <w:lang w:eastAsia="en-GB"/>
              </w:rPr>
              <w:t>8</w:t>
            </w:r>
          </w:p>
        </w:tc>
        <w:tc>
          <w:tcPr>
            <w:tcW w:w="1464" w:type="dxa"/>
            <w:tcBorders>
              <w:top w:val="nil"/>
              <w:left w:val="nil"/>
              <w:bottom w:val="nil"/>
              <w:right w:val="nil"/>
            </w:tcBorders>
            <w:shd w:val="clear" w:color="000000" w:fill="FFFFFF"/>
            <w:vAlign w:val="bottom"/>
            <w:hideMark/>
          </w:tcPr>
          <w:p w14:paraId="4DB15753"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  </w:t>
            </w:r>
          </w:p>
        </w:tc>
        <w:tc>
          <w:tcPr>
            <w:tcW w:w="276" w:type="dxa"/>
            <w:tcBorders>
              <w:top w:val="nil"/>
              <w:left w:val="nil"/>
              <w:bottom w:val="nil"/>
              <w:right w:val="nil"/>
            </w:tcBorders>
            <w:shd w:val="clear" w:color="000000" w:fill="FFFFFF"/>
            <w:noWrap/>
            <w:vAlign w:val="bottom"/>
            <w:hideMark/>
          </w:tcPr>
          <w:p w14:paraId="276FF554"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0D2359C1"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4,757 </w:t>
            </w:r>
          </w:p>
        </w:tc>
        <w:tc>
          <w:tcPr>
            <w:tcW w:w="257" w:type="dxa"/>
            <w:tcBorders>
              <w:top w:val="nil"/>
              <w:left w:val="nil"/>
              <w:bottom w:val="nil"/>
              <w:right w:val="nil"/>
            </w:tcBorders>
            <w:shd w:val="clear" w:color="000000" w:fill="FFFFFF"/>
            <w:vAlign w:val="bottom"/>
            <w:hideMark/>
          </w:tcPr>
          <w:p w14:paraId="20370A7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7A9970C3"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4,767 </w:t>
            </w:r>
          </w:p>
        </w:tc>
      </w:tr>
      <w:tr w:rsidR="00E2415E" w:rsidRPr="00E2415E" w14:paraId="64B6E4A4" w14:textId="77777777" w:rsidTr="00F032FF">
        <w:trPr>
          <w:trHeight w:val="240"/>
        </w:trPr>
        <w:tc>
          <w:tcPr>
            <w:tcW w:w="4236" w:type="dxa"/>
            <w:tcBorders>
              <w:top w:val="nil"/>
              <w:left w:val="nil"/>
              <w:bottom w:val="nil"/>
              <w:right w:val="nil"/>
            </w:tcBorders>
            <w:shd w:val="clear" w:color="000000" w:fill="FFFFFF"/>
            <w:noWrap/>
            <w:vAlign w:val="bottom"/>
            <w:hideMark/>
          </w:tcPr>
          <w:p w14:paraId="55D675D5"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Share option valuation adjustment</w:t>
            </w:r>
          </w:p>
        </w:tc>
        <w:tc>
          <w:tcPr>
            <w:tcW w:w="756" w:type="dxa"/>
            <w:tcBorders>
              <w:top w:val="nil"/>
              <w:left w:val="nil"/>
              <w:bottom w:val="nil"/>
              <w:right w:val="nil"/>
            </w:tcBorders>
            <w:shd w:val="clear" w:color="000000" w:fill="FFFFFF"/>
            <w:noWrap/>
            <w:vAlign w:val="bottom"/>
            <w:hideMark/>
          </w:tcPr>
          <w:p w14:paraId="1F7346AB"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246AE33E"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(16)</w:t>
            </w:r>
          </w:p>
        </w:tc>
        <w:tc>
          <w:tcPr>
            <w:tcW w:w="276" w:type="dxa"/>
            <w:tcBorders>
              <w:top w:val="nil"/>
              <w:left w:val="nil"/>
              <w:bottom w:val="nil"/>
              <w:right w:val="nil"/>
            </w:tcBorders>
            <w:shd w:val="clear" w:color="000000" w:fill="FFFFFF"/>
            <w:noWrap/>
            <w:vAlign w:val="bottom"/>
            <w:hideMark/>
          </w:tcPr>
          <w:p w14:paraId="339C8230"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163B3BEA"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73 </w:t>
            </w:r>
          </w:p>
        </w:tc>
        <w:tc>
          <w:tcPr>
            <w:tcW w:w="257" w:type="dxa"/>
            <w:tcBorders>
              <w:top w:val="nil"/>
              <w:left w:val="nil"/>
              <w:bottom w:val="nil"/>
              <w:right w:val="nil"/>
            </w:tcBorders>
            <w:shd w:val="clear" w:color="000000" w:fill="FFFFFF"/>
            <w:vAlign w:val="bottom"/>
            <w:hideMark/>
          </w:tcPr>
          <w:p w14:paraId="797636A1"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471AA84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137 </w:t>
            </w:r>
          </w:p>
        </w:tc>
      </w:tr>
      <w:tr w:rsidR="00E2415E" w:rsidRPr="00E2415E" w14:paraId="0856073C" w14:textId="77777777" w:rsidTr="00F032FF">
        <w:trPr>
          <w:trHeight w:val="240"/>
        </w:trPr>
        <w:tc>
          <w:tcPr>
            <w:tcW w:w="4236" w:type="dxa"/>
            <w:tcBorders>
              <w:top w:val="nil"/>
              <w:left w:val="nil"/>
              <w:bottom w:val="nil"/>
              <w:right w:val="nil"/>
            </w:tcBorders>
            <w:shd w:val="clear" w:color="000000" w:fill="FFFFFF"/>
            <w:noWrap/>
            <w:vAlign w:val="bottom"/>
            <w:hideMark/>
          </w:tcPr>
          <w:p w14:paraId="576E4589"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Decrease in  provisions</w:t>
            </w:r>
          </w:p>
        </w:tc>
        <w:tc>
          <w:tcPr>
            <w:tcW w:w="756" w:type="dxa"/>
            <w:tcBorders>
              <w:top w:val="nil"/>
              <w:left w:val="nil"/>
              <w:bottom w:val="nil"/>
              <w:right w:val="nil"/>
            </w:tcBorders>
            <w:shd w:val="clear" w:color="000000" w:fill="FFFFFF"/>
            <w:noWrap/>
            <w:vAlign w:val="bottom"/>
            <w:hideMark/>
          </w:tcPr>
          <w:p w14:paraId="3C6E906E"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78A7A8DE"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(160)</w:t>
            </w:r>
          </w:p>
        </w:tc>
        <w:tc>
          <w:tcPr>
            <w:tcW w:w="276" w:type="dxa"/>
            <w:tcBorders>
              <w:top w:val="nil"/>
              <w:left w:val="nil"/>
              <w:bottom w:val="nil"/>
              <w:right w:val="nil"/>
            </w:tcBorders>
            <w:shd w:val="clear" w:color="000000" w:fill="FFFFFF"/>
            <w:noWrap/>
            <w:vAlign w:val="bottom"/>
            <w:hideMark/>
          </w:tcPr>
          <w:p w14:paraId="530655D7"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3518096D"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(188)</w:t>
            </w:r>
          </w:p>
        </w:tc>
        <w:tc>
          <w:tcPr>
            <w:tcW w:w="257" w:type="dxa"/>
            <w:tcBorders>
              <w:top w:val="nil"/>
              <w:left w:val="nil"/>
              <w:bottom w:val="nil"/>
              <w:right w:val="nil"/>
            </w:tcBorders>
            <w:shd w:val="clear" w:color="000000" w:fill="FFFFFF"/>
            <w:vAlign w:val="bottom"/>
            <w:hideMark/>
          </w:tcPr>
          <w:p w14:paraId="762E58C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6B110E1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(18)</w:t>
            </w:r>
          </w:p>
        </w:tc>
      </w:tr>
      <w:tr w:rsidR="00E2415E" w:rsidRPr="00E2415E" w14:paraId="09C17B9A" w14:textId="77777777" w:rsidTr="00F032FF">
        <w:trPr>
          <w:trHeight w:val="240"/>
        </w:trPr>
        <w:tc>
          <w:tcPr>
            <w:tcW w:w="4236" w:type="dxa"/>
            <w:tcBorders>
              <w:top w:val="nil"/>
              <w:left w:val="nil"/>
              <w:bottom w:val="nil"/>
              <w:right w:val="nil"/>
            </w:tcBorders>
            <w:shd w:val="clear" w:color="auto" w:fill="auto"/>
            <w:noWrap/>
            <w:vAlign w:val="bottom"/>
            <w:hideMark/>
          </w:tcPr>
          <w:p w14:paraId="676046E9"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Increase/(decrease) in accruals and deferred income</w:t>
            </w:r>
          </w:p>
        </w:tc>
        <w:tc>
          <w:tcPr>
            <w:tcW w:w="756" w:type="dxa"/>
            <w:tcBorders>
              <w:top w:val="nil"/>
              <w:left w:val="nil"/>
              <w:bottom w:val="nil"/>
              <w:right w:val="nil"/>
            </w:tcBorders>
            <w:shd w:val="clear" w:color="000000" w:fill="FFFFFF"/>
            <w:noWrap/>
            <w:vAlign w:val="bottom"/>
            <w:hideMark/>
          </w:tcPr>
          <w:p w14:paraId="738D48BC"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0E2C4A50" w14:textId="77777777" w:rsidR="00E2415E" w:rsidRPr="00E2415E" w:rsidRDefault="00451645" w:rsidP="00E2415E">
            <w:pPr>
              <w:spacing w:after="0"/>
              <w:jc w:val="right"/>
              <w:rPr>
                <w:rFonts w:ascii="Calibri" w:hAnsi="Calibri" w:cs="Arial"/>
                <w:b/>
                <w:bCs/>
                <w:szCs w:val="18"/>
                <w:lang w:eastAsia="en-GB"/>
              </w:rPr>
            </w:pPr>
            <w:r>
              <w:rPr>
                <w:rFonts w:ascii="Calibri" w:hAnsi="Calibri" w:cs="Arial"/>
                <w:b/>
                <w:bCs/>
                <w:szCs w:val="18"/>
                <w:lang w:eastAsia="en-GB"/>
              </w:rPr>
              <w:t>868</w:t>
            </w:r>
            <w:r w:rsidR="00E2415E" w:rsidRPr="00E2415E">
              <w:rPr>
                <w:rFonts w:ascii="Calibri" w:hAnsi="Calibri" w:cs="Arial"/>
                <w:b/>
                <w:bCs/>
                <w:szCs w:val="18"/>
                <w:lang w:eastAsia="en-GB"/>
              </w:rPr>
              <w:t xml:space="preserve"> </w:t>
            </w:r>
          </w:p>
        </w:tc>
        <w:tc>
          <w:tcPr>
            <w:tcW w:w="276" w:type="dxa"/>
            <w:tcBorders>
              <w:top w:val="nil"/>
              <w:left w:val="nil"/>
              <w:bottom w:val="nil"/>
              <w:right w:val="nil"/>
            </w:tcBorders>
            <w:shd w:val="clear" w:color="000000" w:fill="FFFFFF"/>
            <w:noWrap/>
            <w:vAlign w:val="bottom"/>
            <w:hideMark/>
          </w:tcPr>
          <w:p w14:paraId="542B95D6"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2720041E"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348 </w:t>
            </w:r>
          </w:p>
        </w:tc>
        <w:tc>
          <w:tcPr>
            <w:tcW w:w="257" w:type="dxa"/>
            <w:tcBorders>
              <w:top w:val="nil"/>
              <w:left w:val="nil"/>
              <w:bottom w:val="nil"/>
              <w:right w:val="nil"/>
            </w:tcBorders>
            <w:shd w:val="clear" w:color="000000" w:fill="FFFFFF"/>
            <w:vAlign w:val="bottom"/>
            <w:hideMark/>
          </w:tcPr>
          <w:p w14:paraId="124AB06B"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565EB137"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(263)</w:t>
            </w:r>
          </w:p>
        </w:tc>
      </w:tr>
      <w:tr w:rsidR="00E2415E" w:rsidRPr="00E2415E" w14:paraId="18A1F921" w14:textId="77777777" w:rsidTr="00F032FF">
        <w:trPr>
          <w:trHeight w:val="240"/>
        </w:trPr>
        <w:tc>
          <w:tcPr>
            <w:tcW w:w="4236" w:type="dxa"/>
            <w:tcBorders>
              <w:top w:val="nil"/>
              <w:left w:val="nil"/>
              <w:bottom w:val="nil"/>
              <w:right w:val="nil"/>
            </w:tcBorders>
            <w:shd w:val="clear" w:color="000000" w:fill="FFFFFF"/>
            <w:noWrap/>
            <w:vAlign w:val="bottom"/>
            <w:hideMark/>
          </w:tcPr>
          <w:p w14:paraId="5EAF76A5"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Decrease in inventories</w:t>
            </w:r>
          </w:p>
        </w:tc>
        <w:tc>
          <w:tcPr>
            <w:tcW w:w="756" w:type="dxa"/>
            <w:tcBorders>
              <w:top w:val="nil"/>
              <w:left w:val="nil"/>
              <w:bottom w:val="nil"/>
              <w:right w:val="nil"/>
            </w:tcBorders>
            <w:shd w:val="clear" w:color="000000" w:fill="FFFFFF"/>
            <w:noWrap/>
            <w:vAlign w:val="bottom"/>
            <w:hideMark/>
          </w:tcPr>
          <w:p w14:paraId="0C677E86"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796D8157"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(110)</w:t>
            </w:r>
          </w:p>
        </w:tc>
        <w:tc>
          <w:tcPr>
            <w:tcW w:w="276" w:type="dxa"/>
            <w:tcBorders>
              <w:top w:val="nil"/>
              <w:left w:val="nil"/>
              <w:bottom w:val="nil"/>
              <w:right w:val="nil"/>
            </w:tcBorders>
            <w:shd w:val="clear" w:color="000000" w:fill="FFFFFF"/>
            <w:noWrap/>
            <w:vAlign w:val="bottom"/>
            <w:hideMark/>
          </w:tcPr>
          <w:p w14:paraId="7907DC51"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3D9BF70D"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3 </w:t>
            </w:r>
          </w:p>
        </w:tc>
        <w:tc>
          <w:tcPr>
            <w:tcW w:w="257" w:type="dxa"/>
            <w:tcBorders>
              <w:top w:val="nil"/>
              <w:left w:val="nil"/>
              <w:bottom w:val="nil"/>
              <w:right w:val="nil"/>
            </w:tcBorders>
            <w:shd w:val="clear" w:color="000000" w:fill="FFFFFF"/>
            <w:vAlign w:val="bottom"/>
            <w:hideMark/>
          </w:tcPr>
          <w:p w14:paraId="23618FA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70D0E30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(18)</w:t>
            </w:r>
          </w:p>
        </w:tc>
      </w:tr>
      <w:tr w:rsidR="00E2415E" w:rsidRPr="00E2415E" w14:paraId="64C9BD23" w14:textId="77777777" w:rsidTr="00F032FF">
        <w:trPr>
          <w:trHeight w:val="240"/>
        </w:trPr>
        <w:tc>
          <w:tcPr>
            <w:tcW w:w="4992" w:type="dxa"/>
            <w:gridSpan w:val="2"/>
            <w:tcBorders>
              <w:top w:val="nil"/>
              <w:left w:val="nil"/>
              <w:bottom w:val="nil"/>
              <w:right w:val="nil"/>
            </w:tcBorders>
            <w:shd w:val="clear" w:color="000000" w:fill="FFFFFF"/>
            <w:noWrap/>
            <w:vAlign w:val="bottom"/>
            <w:hideMark/>
          </w:tcPr>
          <w:p w14:paraId="18DF3764"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(Increase)/decrease in trade and other receivables</w:t>
            </w:r>
          </w:p>
        </w:tc>
        <w:tc>
          <w:tcPr>
            <w:tcW w:w="1464" w:type="dxa"/>
            <w:tcBorders>
              <w:top w:val="nil"/>
              <w:left w:val="nil"/>
              <w:bottom w:val="nil"/>
              <w:right w:val="nil"/>
            </w:tcBorders>
            <w:shd w:val="clear" w:color="000000" w:fill="FFFFFF"/>
            <w:vAlign w:val="bottom"/>
            <w:hideMark/>
          </w:tcPr>
          <w:p w14:paraId="465CA6FC"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110 </w:t>
            </w:r>
          </w:p>
        </w:tc>
        <w:tc>
          <w:tcPr>
            <w:tcW w:w="276" w:type="dxa"/>
            <w:tcBorders>
              <w:top w:val="nil"/>
              <w:left w:val="nil"/>
              <w:bottom w:val="nil"/>
              <w:right w:val="nil"/>
            </w:tcBorders>
            <w:shd w:val="clear" w:color="000000" w:fill="FFFFFF"/>
            <w:noWrap/>
            <w:vAlign w:val="bottom"/>
            <w:hideMark/>
          </w:tcPr>
          <w:p w14:paraId="6B7ED91A"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7C5BA630"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(1,296)</w:t>
            </w:r>
          </w:p>
        </w:tc>
        <w:tc>
          <w:tcPr>
            <w:tcW w:w="257" w:type="dxa"/>
            <w:tcBorders>
              <w:top w:val="nil"/>
              <w:left w:val="nil"/>
              <w:bottom w:val="nil"/>
              <w:right w:val="nil"/>
            </w:tcBorders>
            <w:shd w:val="clear" w:color="000000" w:fill="FFFFFF"/>
            <w:vAlign w:val="bottom"/>
            <w:hideMark/>
          </w:tcPr>
          <w:p w14:paraId="6303876E"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196F7AE1"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(1,407)</w:t>
            </w:r>
          </w:p>
        </w:tc>
      </w:tr>
      <w:tr w:rsidR="00E2415E" w:rsidRPr="00E2415E" w14:paraId="56325083" w14:textId="77777777" w:rsidTr="00F032FF">
        <w:trPr>
          <w:trHeight w:val="240"/>
        </w:trPr>
        <w:tc>
          <w:tcPr>
            <w:tcW w:w="4236" w:type="dxa"/>
            <w:tcBorders>
              <w:top w:val="nil"/>
              <w:left w:val="nil"/>
              <w:bottom w:val="nil"/>
              <w:right w:val="nil"/>
            </w:tcBorders>
            <w:shd w:val="clear" w:color="000000" w:fill="FFFFFF"/>
            <w:noWrap/>
            <w:vAlign w:val="bottom"/>
            <w:hideMark/>
          </w:tcPr>
          <w:p w14:paraId="2A69D8C9"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Increase/(decrease) in trade and other payables</w:t>
            </w:r>
          </w:p>
        </w:tc>
        <w:tc>
          <w:tcPr>
            <w:tcW w:w="756" w:type="dxa"/>
            <w:tcBorders>
              <w:top w:val="nil"/>
              <w:left w:val="nil"/>
              <w:bottom w:val="nil"/>
              <w:right w:val="nil"/>
            </w:tcBorders>
            <w:shd w:val="clear" w:color="000000" w:fill="FFFFFF"/>
            <w:noWrap/>
            <w:vAlign w:val="bottom"/>
            <w:hideMark/>
          </w:tcPr>
          <w:p w14:paraId="39AE4E2B"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6EF99578"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1,582 </w:t>
            </w:r>
          </w:p>
        </w:tc>
        <w:tc>
          <w:tcPr>
            <w:tcW w:w="276" w:type="dxa"/>
            <w:tcBorders>
              <w:top w:val="nil"/>
              <w:left w:val="nil"/>
              <w:bottom w:val="nil"/>
              <w:right w:val="nil"/>
            </w:tcBorders>
            <w:shd w:val="clear" w:color="000000" w:fill="FFFFFF"/>
            <w:noWrap/>
            <w:vAlign w:val="bottom"/>
            <w:hideMark/>
          </w:tcPr>
          <w:p w14:paraId="77E8123A"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single" w:sz="4" w:space="0" w:color="auto"/>
              <w:right w:val="nil"/>
            </w:tcBorders>
            <w:shd w:val="clear" w:color="000000" w:fill="FFFFFF"/>
            <w:vAlign w:val="bottom"/>
            <w:hideMark/>
          </w:tcPr>
          <w:p w14:paraId="1D10422B"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211 </w:t>
            </w:r>
          </w:p>
        </w:tc>
        <w:tc>
          <w:tcPr>
            <w:tcW w:w="257" w:type="dxa"/>
            <w:tcBorders>
              <w:top w:val="nil"/>
              <w:left w:val="nil"/>
              <w:bottom w:val="nil"/>
              <w:right w:val="nil"/>
            </w:tcBorders>
            <w:shd w:val="clear" w:color="000000" w:fill="FFFFFF"/>
            <w:vAlign w:val="bottom"/>
            <w:hideMark/>
          </w:tcPr>
          <w:p w14:paraId="13C73248"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single" w:sz="4" w:space="0" w:color="auto"/>
              <w:right w:val="nil"/>
            </w:tcBorders>
            <w:shd w:val="clear" w:color="000000" w:fill="FFFFFF"/>
            <w:vAlign w:val="bottom"/>
            <w:hideMark/>
          </w:tcPr>
          <w:p w14:paraId="5BE0B2A5"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(730)</w:t>
            </w:r>
          </w:p>
        </w:tc>
      </w:tr>
      <w:tr w:rsidR="00E2415E" w:rsidRPr="00E2415E" w14:paraId="0504C8AB" w14:textId="77777777" w:rsidTr="00F032FF">
        <w:trPr>
          <w:trHeight w:val="240"/>
        </w:trPr>
        <w:tc>
          <w:tcPr>
            <w:tcW w:w="4236" w:type="dxa"/>
            <w:tcBorders>
              <w:top w:val="nil"/>
              <w:left w:val="nil"/>
              <w:bottom w:val="nil"/>
              <w:right w:val="nil"/>
            </w:tcBorders>
            <w:shd w:val="clear" w:color="000000" w:fill="FFFFFF"/>
            <w:noWrap/>
            <w:vAlign w:val="bottom"/>
            <w:hideMark/>
          </w:tcPr>
          <w:p w14:paraId="634792FF"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Cash flows from operating activities</w:t>
            </w:r>
          </w:p>
        </w:tc>
        <w:tc>
          <w:tcPr>
            <w:tcW w:w="756" w:type="dxa"/>
            <w:tcBorders>
              <w:top w:val="nil"/>
              <w:left w:val="nil"/>
              <w:bottom w:val="nil"/>
              <w:right w:val="nil"/>
            </w:tcBorders>
            <w:shd w:val="clear" w:color="000000" w:fill="FFFFFF"/>
            <w:noWrap/>
            <w:vAlign w:val="bottom"/>
            <w:hideMark/>
          </w:tcPr>
          <w:p w14:paraId="4BDF1F92"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single" w:sz="4" w:space="0" w:color="auto"/>
              <w:left w:val="nil"/>
              <w:bottom w:val="nil"/>
              <w:right w:val="nil"/>
            </w:tcBorders>
            <w:shd w:val="clear" w:color="000000" w:fill="FFFFFF"/>
            <w:vAlign w:val="bottom"/>
            <w:hideMark/>
          </w:tcPr>
          <w:p w14:paraId="49CB0333"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(598)</w:t>
            </w:r>
          </w:p>
        </w:tc>
        <w:tc>
          <w:tcPr>
            <w:tcW w:w="276" w:type="dxa"/>
            <w:tcBorders>
              <w:top w:val="nil"/>
              <w:left w:val="nil"/>
              <w:bottom w:val="nil"/>
              <w:right w:val="nil"/>
            </w:tcBorders>
            <w:shd w:val="clear" w:color="000000" w:fill="FFFFFF"/>
            <w:noWrap/>
            <w:vAlign w:val="bottom"/>
            <w:hideMark/>
          </w:tcPr>
          <w:p w14:paraId="0C46893B"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090B5DC6"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(2,308)</w:t>
            </w:r>
          </w:p>
        </w:tc>
        <w:tc>
          <w:tcPr>
            <w:tcW w:w="257" w:type="dxa"/>
            <w:tcBorders>
              <w:top w:val="nil"/>
              <w:left w:val="nil"/>
              <w:bottom w:val="nil"/>
              <w:right w:val="nil"/>
            </w:tcBorders>
            <w:shd w:val="clear" w:color="000000" w:fill="FFFFFF"/>
            <w:vAlign w:val="bottom"/>
            <w:hideMark/>
          </w:tcPr>
          <w:p w14:paraId="14193765"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266ED597"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(4,691)</w:t>
            </w:r>
          </w:p>
        </w:tc>
      </w:tr>
      <w:tr w:rsidR="00E2415E" w:rsidRPr="00E2415E" w14:paraId="722D1EDE" w14:textId="77777777" w:rsidTr="00F032FF">
        <w:trPr>
          <w:trHeight w:val="240"/>
        </w:trPr>
        <w:tc>
          <w:tcPr>
            <w:tcW w:w="4236" w:type="dxa"/>
            <w:tcBorders>
              <w:top w:val="nil"/>
              <w:left w:val="nil"/>
              <w:bottom w:val="nil"/>
              <w:right w:val="nil"/>
            </w:tcBorders>
            <w:shd w:val="clear" w:color="000000" w:fill="FFFFFF"/>
            <w:noWrap/>
            <w:vAlign w:val="bottom"/>
            <w:hideMark/>
          </w:tcPr>
          <w:p w14:paraId="2392EE30"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Taxation</w:t>
            </w:r>
          </w:p>
        </w:tc>
        <w:tc>
          <w:tcPr>
            <w:tcW w:w="756" w:type="dxa"/>
            <w:tcBorders>
              <w:top w:val="nil"/>
              <w:left w:val="nil"/>
              <w:bottom w:val="nil"/>
              <w:right w:val="nil"/>
            </w:tcBorders>
            <w:shd w:val="clear" w:color="000000" w:fill="FFFFFF"/>
            <w:noWrap/>
            <w:vAlign w:val="bottom"/>
            <w:hideMark/>
          </w:tcPr>
          <w:p w14:paraId="56C86567"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60E70293"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(46)</w:t>
            </w:r>
          </w:p>
        </w:tc>
        <w:tc>
          <w:tcPr>
            <w:tcW w:w="276" w:type="dxa"/>
            <w:tcBorders>
              <w:top w:val="nil"/>
              <w:left w:val="nil"/>
              <w:bottom w:val="nil"/>
              <w:right w:val="nil"/>
            </w:tcBorders>
            <w:shd w:val="clear" w:color="000000" w:fill="FFFFFF"/>
            <w:noWrap/>
            <w:vAlign w:val="bottom"/>
            <w:hideMark/>
          </w:tcPr>
          <w:p w14:paraId="195A994C"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43B7AE8F"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(10)</w:t>
            </w:r>
          </w:p>
        </w:tc>
        <w:tc>
          <w:tcPr>
            <w:tcW w:w="257" w:type="dxa"/>
            <w:tcBorders>
              <w:top w:val="nil"/>
              <w:left w:val="nil"/>
              <w:bottom w:val="nil"/>
              <w:right w:val="nil"/>
            </w:tcBorders>
            <w:shd w:val="clear" w:color="000000" w:fill="FFFFFF"/>
            <w:vAlign w:val="bottom"/>
            <w:hideMark/>
          </w:tcPr>
          <w:p w14:paraId="78B07565"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24948E8B"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(3)</w:t>
            </w:r>
          </w:p>
        </w:tc>
      </w:tr>
      <w:tr w:rsidR="00E2415E" w:rsidRPr="00E2415E" w14:paraId="7AC9FBE7" w14:textId="77777777" w:rsidTr="00F032FF">
        <w:trPr>
          <w:trHeight w:val="240"/>
        </w:trPr>
        <w:tc>
          <w:tcPr>
            <w:tcW w:w="4236" w:type="dxa"/>
            <w:tcBorders>
              <w:top w:val="nil"/>
              <w:left w:val="nil"/>
              <w:bottom w:val="nil"/>
              <w:right w:val="nil"/>
            </w:tcBorders>
            <w:shd w:val="clear" w:color="000000" w:fill="FFFFFF"/>
            <w:noWrap/>
            <w:vAlign w:val="bottom"/>
            <w:hideMark/>
          </w:tcPr>
          <w:p w14:paraId="48062994"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Net interest</w:t>
            </w:r>
          </w:p>
        </w:tc>
        <w:tc>
          <w:tcPr>
            <w:tcW w:w="756" w:type="dxa"/>
            <w:tcBorders>
              <w:top w:val="nil"/>
              <w:left w:val="nil"/>
              <w:bottom w:val="nil"/>
              <w:right w:val="nil"/>
            </w:tcBorders>
            <w:shd w:val="clear" w:color="000000" w:fill="FFFFFF"/>
            <w:noWrap/>
            <w:vAlign w:val="bottom"/>
            <w:hideMark/>
          </w:tcPr>
          <w:p w14:paraId="2F75E138"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584DDBA3"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6 </w:t>
            </w:r>
          </w:p>
        </w:tc>
        <w:tc>
          <w:tcPr>
            <w:tcW w:w="276" w:type="dxa"/>
            <w:tcBorders>
              <w:top w:val="nil"/>
              <w:left w:val="nil"/>
              <w:bottom w:val="nil"/>
              <w:right w:val="nil"/>
            </w:tcBorders>
            <w:shd w:val="clear" w:color="000000" w:fill="FFFFFF"/>
            <w:noWrap/>
            <w:vAlign w:val="bottom"/>
            <w:hideMark/>
          </w:tcPr>
          <w:p w14:paraId="3DEFE231"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single" w:sz="4" w:space="0" w:color="auto"/>
              <w:right w:val="nil"/>
            </w:tcBorders>
            <w:shd w:val="clear" w:color="000000" w:fill="FFFFFF"/>
            <w:vAlign w:val="bottom"/>
            <w:hideMark/>
          </w:tcPr>
          <w:p w14:paraId="36C553CF"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10 </w:t>
            </w:r>
          </w:p>
        </w:tc>
        <w:tc>
          <w:tcPr>
            <w:tcW w:w="257" w:type="dxa"/>
            <w:tcBorders>
              <w:top w:val="nil"/>
              <w:left w:val="nil"/>
              <w:bottom w:val="nil"/>
              <w:right w:val="nil"/>
            </w:tcBorders>
            <w:shd w:val="clear" w:color="000000" w:fill="FFFFFF"/>
            <w:vAlign w:val="bottom"/>
            <w:hideMark/>
          </w:tcPr>
          <w:p w14:paraId="4B2CF627"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single" w:sz="4" w:space="0" w:color="auto"/>
              <w:right w:val="nil"/>
            </w:tcBorders>
            <w:shd w:val="clear" w:color="000000" w:fill="FFFFFF"/>
            <w:vAlign w:val="bottom"/>
            <w:hideMark/>
          </w:tcPr>
          <w:p w14:paraId="16EC1AB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11 </w:t>
            </w:r>
          </w:p>
        </w:tc>
      </w:tr>
      <w:tr w:rsidR="00E2415E" w:rsidRPr="00E2415E" w14:paraId="34408DA3" w14:textId="77777777" w:rsidTr="00F032FF">
        <w:trPr>
          <w:trHeight w:val="240"/>
        </w:trPr>
        <w:tc>
          <w:tcPr>
            <w:tcW w:w="4236" w:type="dxa"/>
            <w:tcBorders>
              <w:top w:val="nil"/>
              <w:left w:val="nil"/>
              <w:bottom w:val="nil"/>
              <w:right w:val="nil"/>
            </w:tcBorders>
            <w:shd w:val="clear" w:color="000000" w:fill="FFFFFF"/>
            <w:noWrap/>
            <w:vAlign w:val="bottom"/>
            <w:hideMark/>
          </w:tcPr>
          <w:p w14:paraId="31D1BECF"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Net cash used in operating activities</w:t>
            </w:r>
          </w:p>
        </w:tc>
        <w:tc>
          <w:tcPr>
            <w:tcW w:w="756" w:type="dxa"/>
            <w:tcBorders>
              <w:top w:val="nil"/>
              <w:left w:val="nil"/>
              <w:bottom w:val="nil"/>
              <w:right w:val="nil"/>
            </w:tcBorders>
            <w:shd w:val="clear" w:color="000000" w:fill="FFFFFF"/>
            <w:noWrap/>
            <w:vAlign w:val="bottom"/>
            <w:hideMark/>
          </w:tcPr>
          <w:p w14:paraId="5691E8A2"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single" w:sz="4" w:space="0" w:color="auto"/>
              <w:left w:val="nil"/>
              <w:bottom w:val="single" w:sz="4" w:space="0" w:color="auto"/>
              <w:right w:val="nil"/>
            </w:tcBorders>
            <w:shd w:val="clear" w:color="000000" w:fill="FFFFFF"/>
            <w:vAlign w:val="bottom"/>
            <w:hideMark/>
          </w:tcPr>
          <w:p w14:paraId="36967C19"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(639)</w:t>
            </w:r>
          </w:p>
        </w:tc>
        <w:tc>
          <w:tcPr>
            <w:tcW w:w="276" w:type="dxa"/>
            <w:tcBorders>
              <w:top w:val="nil"/>
              <w:left w:val="nil"/>
              <w:bottom w:val="nil"/>
              <w:right w:val="nil"/>
            </w:tcBorders>
            <w:shd w:val="clear" w:color="000000" w:fill="FFFFFF"/>
            <w:noWrap/>
            <w:vAlign w:val="bottom"/>
            <w:hideMark/>
          </w:tcPr>
          <w:p w14:paraId="46239E7A"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single" w:sz="4" w:space="0" w:color="auto"/>
              <w:right w:val="nil"/>
            </w:tcBorders>
            <w:shd w:val="clear" w:color="000000" w:fill="FFFFFF"/>
            <w:vAlign w:val="bottom"/>
            <w:hideMark/>
          </w:tcPr>
          <w:p w14:paraId="5F838E87"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(2,308)</w:t>
            </w:r>
          </w:p>
        </w:tc>
        <w:tc>
          <w:tcPr>
            <w:tcW w:w="257" w:type="dxa"/>
            <w:tcBorders>
              <w:top w:val="nil"/>
              <w:left w:val="nil"/>
              <w:bottom w:val="nil"/>
              <w:right w:val="nil"/>
            </w:tcBorders>
            <w:shd w:val="clear" w:color="000000" w:fill="FFFFFF"/>
            <w:vAlign w:val="bottom"/>
            <w:hideMark/>
          </w:tcPr>
          <w:p w14:paraId="54FFB393"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single" w:sz="4" w:space="0" w:color="auto"/>
              <w:right w:val="nil"/>
            </w:tcBorders>
            <w:shd w:val="clear" w:color="000000" w:fill="FFFFFF"/>
            <w:vAlign w:val="bottom"/>
            <w:hideMark/>
          </w:tcPr>
          <w:p w14:paraId="7098E2C5"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(4,683)</w:t>
            </w:r>
          </w:p>
        </w:tc>
      </w:tr>
      <w:tr w:rsidR="00E2415E" w:rsidRPr="00E2415E" w14:paraId="7B38E92A" w14:textId="77777777" w:rsidTr="00F032FF">
        <w:trPr>
          <w:trHeight w:val="240"/>
        </w:trPr>
        <w:tc>
          <w:tcPr>
            <w:tcW w:w="4236" w:type="dxa"/>
            <w:tcBorders>
              <w:top w:val="nil"/>
              <w:left w:val="nil"/>
              <w:bottom w:val="nil"/>
              <w:right w:val="nil"/>
            </w:tcBorders>
            <w:shd w:val="clear" w:color="000000" w:fill="FFFFFF"/>
            <w:noWrap/>
            <w:vAlign w:val="bottom"/>
            <w:hideMark/>
          </w:tcPr>
          <w:p w14:paraId="2B86799D"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Investing activities</w:t>
            </w:r>
          </w:p>
        </w:tc>
        <w:tc>
          <w:tcPr>
            <w:tcW w:w="756" w:type="dxa"/>
            <w:tcBorders>
              <w:top w:val="nil"/>
              <w:left w:val="nil"/>
              <w:bottom w:val="nil"/>
              <w:right w:val="nil"/>
            </w:tcBorders>
            <w:shd w:val="clear" w:color="000000" w:fill="FFFFFF"/>
            <w:noWrap/>
            <w:vAlign w:val="bottom"/>
            <w:hideMark/>
          </w:tcPr>
          <w:p w14:paraId="60F435E1"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13C3DB46"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w:t>
            </w:r>
          </w:p>
        </w:tc>
        <w:tc>
          <w:tcPr>
            <w:tcW w:w="276" w:type="dxa"/>
            <w:tcBorders>
              <w:top w:val="nil"/>
              <w:left w:val="nil"/>
              <w:bottom w:val="nil"/>
              <w:right w:val="nil"/>
            </w:tcBorders>
            <w:shd w:val="clear" w:color="000000" w:fill="FFFFFF"/>
            <w:noWrap/>
            <w:vAlign w:val="bottom"/>
            <w:hideMark/>
          </w:tcPr>
          <w:p w14:paraId="5BBFBA6F"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6560226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257" w:type="dxa"/>
            <w:tcBorders>
              <w:top w:val="nil"/>
              <w:left w:val="nil"/>
              <w:bottom w:val="nil"/>
              <w:right w:val="nil"/>
            </w:tcBorders>
            <w:shd w:val="clear" w:color="000000" w:fill="FFFFFF"/>
            <w:vAlign w:val="bottom"/>
            <w:hideMark/>
          </w:tcPr>
          <w:p w14:paraId="34145003"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0A4E5C55"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r>
      <w:tr w:rsidR="00E2415E" w:rsidRPr="00E2415E" w14:paraId="4882411C" w14:textId="77777777" w:rsidTr="00F032FF">
        <w:trPr>
          <w:trHeight w:val="240"/>
        </w:trPr>
        <w:tc>
          <w:tcPr>
            <w:tcW w:w="4236" w:type="dxa"/>
            <w:tcBorders>
              <w:top w:val="nil"/>
              <w:left w:val="nil"/>
              <w:bottom w:val="nil"/>
              <w:right w:val="nil"/>
            </w:tcBorders>
            <w:shd w:val="clear" w:color="000000" w:fill="FFFFFF"/>
            <w:noWrap/>
            <w:vAlign w:val="bottom"/>
            <w:hideMark/>
          </w:tcPr>
          <w:p w14:paraId="5155EA9D"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Disposal of investment</w:t>
            </w:r>
          </w:p>
        </w:tc>
        <w:tc>
          <w:tcPr>
            <w:tcW w:w="756" w:type="dxa"/>
            <w:tcBorders>
              <w:top w:val="nil"/>
              <w:left w:val="nil"/>
              <w:bottom w:val="nil"/>
              <w:right w:val="nil"/>
            </w:tcBorders>
            <w:shd w:val="clear" w:color="000000" w:fill="FFFFFF"/>
            <w:noWrap/>
            <w:vAlign w:val="bottom"/>
            <w:hideMark/>
          </w:tcPr>
          <w:p w14:paraId="68167AB3" w14:textId="77777777" w:rsidR="00E2415E" w:rsidRPr="00E2415E" w:rsidRDefault="003105FC" w:rsidP="00E2415E">
            <w:pPr>
              <w:spacing w:after="0"/>
              <w:jc w:val="center"/>
              <w:rPr>
                <w:rFonts w:ascii="Calibri" w:hAnsi="Calibri" w:cs="Arial"/>
                <w:szCs w:val="18"/>
                <w:lang w:eastAsia="en-GB"/>
              </w:rPr>
            </w:pPr>
            <w:r>
              <w:rPr>
                <w:rFonts w:ascii="Calibri" w:hAnsi="Calibri" w:cs="Arial"/>
                <w:szCs w:val="18"/>
                <w:lang w:eastAsia="en-GB"/>
              </w:rPr>
              <w:t>8</w:t>
            </w:r>
          </w:p>
        </w:tc>
        <w:tc>
          <w:tcPr>
            <w:tcW w:w="1464" w:type="dxa"/>
            <w:tcBorders>
              <w:top w:val="nil"/>
              <w:left w:val="nil"/>
              <w:bottom w:val="nil"/>
              <w:right w:val="nil"/>
            </w:tcBorders>
            <w:shd w:val="clear" w:color="000000" w:fill="FFFFFF"/>
            <w:vAlign w:val="bottom"/>
            <w:hideMark/>
          </w:tcPr>
          <w:p w14:paraId="416E13EC"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  </w:t>
            </w:r>
          </w:p>
        </w:tc>
        <w:tc>
          <w:tcPr>
            <w:tcW w:w="276" w:type="dxa"/>
            <w:tcBorders>
              <w:top w:val="nil"/>
              <w:left w:val="nil"/>
              <w:bottom w:val="nil"/>
              <w:right w:val="nil"/>
            </w:tcBorders>
            <w:shd w:val="clear" w:color="000000" w:fill="FFFFFF"/>
            <w:noWrap/>
            <w:vAlign w:val="bottom"/>
            <w:hideMark/>
          </w:tcPr>
          <w:p w14:paraId="36FF17FB"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7347CA7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  </w:t>
            </w:r>
          </w:p>
        </w:tc>
        <w:tc>
          <w:tcPr>
            <w:tcW w:w="257" w:type="dxa"/>
            <w:tcBorders>
              <w:top w:val="nil"/>
              <w:left w:val="nil"/>
              <w:bottom w:val="nil"/>
              <w:right w:val="nil"/>
            </w:tcBorders>
            <w:shd w:val="clear" w:color="000000" w:fill="FFFFFF"/>
            <w:vAlign w:val="bottom"/>
            <w:hideMark/>
          </w:tcPr>
          <w:p w14:paraId="242EAEEA"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2DF91AB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1,828 </w:t>
            </w:r>
          </w:p>
        </w:tc>
      </w:tr>
      <w:tr w:rsidR="00E2415E" w:rsidRPr="00E2415E" w14:paraId="6CEFB7A6" w14:textId="77777777" w:rsidTr="00F032FF">
        <w:trPr>
          <w:trHeight w:val="240"/>
        </w:trPr>
        <w:tc>
          <w:tcPr>
            <w:tcW w:w="4236" w:type="dxa"/>
            <w:tcBorders>
              <w:top w:val="nil"/>
              <w:left w:val="nil"/>
              <w:bottom w:val="nil"/>
              <w:right w:val="nil"/>
            </w:tcBorders>
            <w:shd w:val="clear" w:color="000000" w:fill="FFFFFF"/>
            <w:noWrap/>
            <w:vAlign w:val="bottom"/>
            <w:hideMark/>
          </w:tcPr>
          <w:p w14:paraId="4808A138"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Purchase of property, plant and equipment</w:t>
            </w:r>
          </w:p>
        </w:tc>
        <w:tc>
          <w:tcPr>
            <w:tcW w:w="756" w:type="dxa"/>
            <w:tcBorders>
              <w:top w:val="nil"/>
              <w:left w:val="nil"/>
              <w:bottom w:val="nil"/>
              <w:right w:val="nil"/>
            </w:tcBorders>
            <w:shd w:val="clear" w:color="000000" w:fill="FFFFFF"/>
            <w:noWrap/>
            <w:vAlign w:val="bottom"/>
            <w:hideMark/>
          </w:tcPr>
          <w:p w14:paraId="0E1DB737"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250A729A"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(28)</w:t>
            </w:r>
          </w:p>
        </w:tc>
        <w:tc>
          <w:tcPr>
            <w:tcW w:w="276" w:type="dxa"/>
            <w:tcBorders>
              <w:top w:val="nil"/>
              <w:left w:val="nil"/>
              <w:bottom w:val="nil"/>
              <w:right w:val="nil"/>
            </w:tcBorders>
            <w:shd w:val="clear" w:color="000000" w:fill="FFFFFF"/>
            <w:noWrap/>
            <w:vAlign w:val="bottom"/>
            <w:hideMark/>
          </w:tcPr>
          <w:p w14:paraId="1CDB4B93"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23EF00C6"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(310)</w:t>
            </w:r>
          </w:p>
        </w:tc>
        <w:tc>
          <w:tcPr>
            <w:tcW w:w="257" w:type="dxa"/>
            <w:tcBorders>
              <w:top w:val="nil"/>
              <w:left w:val="nil"/>
              <w:bottom w:val="nil"/>
              <w:right w:val="nil"/>
            </w:tcBorders>
            <w:shd w:val="clear" w:color="000000" w:fill="FFFFFF"/>
            <w:vAlign w:val="bottom"/>
            <w:hideMark/>
          </w:tcPr>
          <w:p w14:paraId="22FD7284"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701EE97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(496)</w:t>
            </w:r>
          </w:p>
        </w:tc>
      </w:tr>
      <w:tr w:rsidR="00E2415E" w:rsidRPr="00E2415E" w14:paraId="3D198D37" w14:textId="77777777" w:rsidTr="00F032FF">
        <w:trPr>
          <w:trHeight w:val="240"/>
        </w:trPr>
        <w:tc>
          <w:tcPr>
            <w:tcW w:w="4236" w:type="dxa"/>
            <w:tcBorders>
              <w:top w:val="nil"/>
              <w:left w:val="nil"/>
              <w:bottom w:val="nil"/>
              <w:right w:val="nil"/>
            </w:tcBorders>
            <w:shd w:val="clear" w:color="000000" w:fill="FFFFFF"/>
            <w:noWrap/>
            <w:vAlign w:val="bottom"/>
            <w:hideMark/>
          </w:tcPr>
          <w:p w14:paraId="43653C56"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Acquisition of subsidiary</w:t>
            </w:r>
          </w:p>
        </w:tc>
        <w:tc>
          <w:tcPr>
            <w:tcW w:w="756" w:type="dxa"/>
            <w:tcBorders>
              <w:top w:val="nil"/>
              <w:left w:val="nil"/>
              <w:bottom w:val="nil"/>
              <w:right w:val="nil"/>
            </w:tcBorders>
            <w:shd w:val="clear" w:color="000000" w:fill="FFFFFF"/>
            <w:noWrap/>
            <w:vAlign w:val="bottom"/>
            <w:hideMark/>
          </w:tcPr>
          <w:p w14:paraId="1DC891C6"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328D2D4D"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109 </w:t>
            </w:r>
          </w:p>
        </w:tc>
        <w:tc>
          <w:tcPr>
            <w:tcW w:w="276" w:type="dxa"/>
            <w:tcBorders>
              <w:top w:val="nil"/>
              <w:left w:val="nil"/>
              <w:bottom w:val="nil"/>
              <w:right w:val="nil"/>
            </w:tcBorders>
            <w:shd w:val="clear" w:color="000000" w:fill="FFFFFF"/>
            <w:noWrap/>
            <w:vAlign w:val="bottom"/>
            <w:hideMark/>
          </w:tcPr>
          <w:p w14:paraId="6D0FAAAD"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0D13A88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  </w:t>
            </w:r>
          </w:p>
        </w:tc>
        <w:tc>
          <w:tcPr>
            <w:tcW w:w="257" w:type="dxa"/>
            <w:tcBorders>
              <w:top w:val="nil"/>
              <w:left w:val="nil"/>
              <w:bottom w:val="nil"/>
              <w:right w:val="nil"/>
            </w:tcBorders>
            <w:shd w:val="clear" w:color="000000" w:fill="FFFFFF"/>
            <w:vAlign w:val="bottom"/>
            <w:hideMark/>
          </w:tcPr>
          <w:p w14:paraId="463542A5"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044A9A9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  </w:t>
            </w:r>
          </w:p>
        </w:tc>
      </w:tr>
      <w:tr w:rsidR="00E2415E" w:rsidRPr="00E2415E" w14:paraId="741DE4A0" w14:textId="77777777" w:rsidTr="00F032FF">
        <w:trPr>
          <w:trHeight w:val="240"/>
        </w:trPr>
        <w:tc>
          <w:tcPr>
            <w:tcW w:w="4236" w:type="dxa"/>
            <w:tcBorders>
              <w:top w:val="nil"/>
              <w:left w:val="nil"/>
              <w:bottom w:val="nil"/>
              <w:right w:val="nil"/>
            </w:tcBorders>
            <w:shd w:val="clear" w:color="000000" w:fill="FFFFFF"/>
            <w:noWrap/>
            <w:vAlign w:val="bottom"/>
            <w:hideMark/>
          </w:tcPr>
          <w:p w14:paraId="184B4236"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Purchase of intangible asset</w:t>
            </w:r>
          </w:p>
        </w:tc>
        <w:tc>
          <w:tcPr>
            <w:tcW w:w="756" w:type="dxa"/>
            <w:tcBorders>
              <w:top w:val="nil"/>
              <w:left w:val="nil"/>
              <w:bottom w:val="nil"/>
              <w:right w:val="nil"/>
            </w:tcBorders>
            <w:shd w:val="clear" w:color="000000" w:fill="FFFFFF"/>
            <w:noWrap/>
            <w:vAlign w:val="bottom"/>
            <w:hideMark/>
          </w:tcPr>
          <w:p w14:paraId="1A37D32F"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6AAD6313"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(186)</w:t>
            </w:r>
          </w:p>
        </w:tc>
        <w:tc>
          <w:tcPr>
            <w:tcW w:w="276" w:type="dxa"/>
            <w:tcBorders>
              <w:top w:val="nil"/>
              <w:left w:val="nil"/>
              <w:bottom w:val="nil"/>
              <w:right w:val="nil"/>
            </w:tcBorders>
            <w:shd w:val="clear" w:color="000000" w:fill="FFFFFF"/>
            <w:noWrap/>
            <w:vAlign w:val="bottom"/>
            <w:hideMark/>
          </w:tcPr>
          <w:p w14:paraId="18BEC82A"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6A11BB30"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(188)</w:t>
            </w:r>
          </w:p>
        </w:tc>
        <w:tc>
          <w:tcPr>
            <w:tcW w:w="257" w:type="dxa"/>
            <w:tcBorders>
              <w:top w:val="nil"/>
              <w:left w:val="nil"/>
              <w:bottom w:val="nil"/>
              <w:right w:val="nil"/>
            </w:tcBorders>
            <w:shd w:val="clear" w:color="000000" w:fill="FFFFFF"/>
            <w:vAlign w:val="bottom"/>
            <w:hideMark/>
          </w:tcPr>
          <w:p w14:paraId="454708AA"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51242EA2"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(352)</w:t>
            </w:r>
          </w:p>
        </w:tc>
      </w:tr>
      <w:tr w:rsidR="00E2415E" w:rsidRPr="00E2415E" w14:paraId="67FC1822" w14:textId="77777777" w:rsidTr="00F032FF">
        <w:trPr>
          <w:trHeight w:val="240"/>
        </w:trPr>
        <w:tc>
          <w:tcPr>
            <w:tcW w:w="4236" w:type="dxa"/>
            <w:tcBorders>
              <w:top w:val="nil"/>
              <w:left w:val="nil"/>
              <w:bottom w:val="nil"/>
              <w:right w:val="nil"/>
            </w:tcBorders>
            <w:shd w:val="clear" w:color="000000" w:fill="FFFFFF"/>
            <w:noWrap/>
            <w:vAlign w:val="bottom"/>
            <w:hideMark/>
          </w:tcPr>
          <w:p w14:paraId="39D8BDEB"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Net cash (used) / generated from in investing activities</w:t>
            </w:r>
          </w:p>
        </w:tc>
        <w:tc>
          <w:tcPr>
            <w:tcW w:w="756" w:type="dxa"/>
            <w:tcBorders>
              <w:top w:val="nil"/>
              <w:left w:val="nil"/>
              <w:bottom w:val="nil"/>
              <w:right w:val="nil"/>
            </w:tcBorders>
            <w:shd w:val="clear" w:color="000000" w:fill="FFFFFF"/>
            <w:noWrap/>
            <w:vAlign w:val="bottom"/>
            <w:hideMark/>
          </w:tcPr>
          <w:p w14:paraId="4AFABA82"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single" w:sz="4" w:space="0" w:color="auto"/>
              <w:left w:val="nil"/>
              <w:bottom w:val="single" w:sz="4" w:space="0" w:color="auto"/>
              <w:right w:val="nil"/>
            </w:tcBorders>
            <w:shd w:val="clear" w:color="000000" w:fill="FFFFFF"/>
            <w:vAlign w:val="bottom"/>
            <w:hideMark/>
          </w:tcPr>
          <w:p w14:paraId="0FD1FAC6"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(105)</w:t>
            </w:r>
          </w:p>
        </w:tc>
        <w:tc>
          <w:tcPr>
            <w:tcW w:w="276" w:type="dxa"/>
            <w:tcBorders>
              <w:top w:val="nil"/>
              <w:left w:val="nil"/>
              <w:bottom w:val="nil"/>
              <w:right w:val="nil"/>
            </w:tcBorders>
            <w:shd w:val="clear" w:color="000000" w:fill="FFFFFF"/>
            <w:noWrap/>
            <w:vAlign w:val="bottom"/>
            <w:hideMark/>
          </w:tcPr>
          <w:p w14:paraId="058E46D7"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single" w:sz="4" w:space="0" w:color="auto"/>
              <w:left w:val="nil"/>
              <w:bottom w:val="single" w:sz="4" w:space="0" w:color="auto"/>
              <w:right w:val="nil"/>
            </w:tcBorders>
            <w:shd w:val="clear" w:color="000000" w:fill="FFFFFF"/>
            <w:vAlign w:val="bottom"/>
            <w:hideMark/>
          </w:tcPr>
          <w:p w14:paraId="3E404F77"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(498)</w:t>
            </w:r>
          </w:p>
        </w:tc>
        <w:tc>
          <w:tcPr>
            <w:tcW w:w="257" w:type="dxa"/>
            <w:tcBorders>
              <w:top w:val="nil"/>
              <w:left w:val="nil"/>
              <w:bottom w:val="nil"/>
              <w:right w:val="nil"/>
            </w:tcBorders>
            <w:shd w:val="clear" w:color="000000" w:fill="FFFFFF"/>
            <w:vAlign w:val="bottom"/>
            <w:hideMark/>
          </w:tcPr>
          <w:p w14:paraId="44356C43"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single" w:sz="4" w:space="0" w:color="auto"/>
              <w:left w:val="nil"/>
              <w:bottom w:val="single" w:sz="4" w:space="0" w:color="auto"/>
              <w:right w:val="nil"/>
            </w:tcBorders>
            <w:shd w:val="clear" w:color="000000" w:fill="FFFFFF"/>
            <w:vAlign w:val="bottom"/>
            <w:hideMark/>
          </w:tcPr>
          <w:p w14:paraId="50870C9F"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980 </w:t>
            </w:r>
          </w:p>
        </w:tc>
      </w:tr>
      <w:tr w:rsidR="00E2415E" w:rsidRPr="00E2415E" w14:paraId="6E96E30D" w14:textId="77777777" w:rsidTr="00F032FF">
        <w:trPr>
          <w:trHeight w:val="240"/>
        </w:trPr>
        <w:tc>
          <w:tcPr>
            <w:tcW w:w="4236" w:type="dxa"/>
            <w:tcBorders>
              <w:top w:val="nil"/>
              <w:left w:val="nil"/>
              <w:bottom w:val="nil"/>
              <w:right w:val="nil"/>
            </w:tcBorders>
            <w:shd w:val="clear" w:color="000000" w:fill="FFFFFF"/>
            <w:noWrap/>
            <w:vAlign w:val="bottom"/>
            <w:hideMark/>
          </w:tcPr>
          <w:p w14:paraId="4D36D187"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Net decrease in cash and cash equivalents</w:t>
            </w:r>
          </w:p>
        </w:tc>
        <w:tc>
          <w:tcPr>
            <w:tcW w:w="756" w:type="dxa"/>
            <w:tcBorders>
              <w:top w:val="nil"/>
              <w:left w:val="nil"/>
              <w:bottom w:val="nil"/>
              <w:right w:val="nil"/>
            </w:tcBorders>
            <w:shd w:val="clear" w:color="000000" w:fill="FFFFFF"/>
            <w:noWrap/>
            <w:vAlign w:val="bottom"/>
            <w:hideMark/>
          </w:tcPr>
          <w:p w14:paraId="4B110794"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single" w:sz="4" w:space="0" w:color="auto"/>
              <w:left w:val="nil"/>
              <w:bottom w:val="single" w:sz="4" w:space="0" w:color="auto"/>
              <w:right w:val="nil"/>
            </w:tcBorders>
            <w:shd w:val="clear" w:color="000000" w:fill="FFFFFF"/>
            <w:vAlign w:val="bottom"/>
            <w:hideMark/>
          </w:tcPr>
          <w:p w14:paraId="675C82F1"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(744)</w:t>
            </w:r>
          </w:p>
        </w:tc>
        <w:tc>
          <w:tcPr>
            <w:tcW w:w="276" w:type="dxa"/>
            <w:tcBorders>
              <w:top w:val="nil"/>
              <w:left w:val="nil"/>
              <w:bottom w:val="nil"/>
              <w:right w:val="nil"/>
            </w:tcBorders>
            <w:shd w:val="clear" w:color="000000" w:fill="FFFFFF"/>
            <w:noWrap/>
            <w:vAlign w:val="bottom"/>
            <w:hideMark/>
          </w:tcPr>
          <w:p w14:paraId="63185102"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single" w:sz="4" w:space="0" w:color="auto"/>
              <w:left w:val="nil"/>
              <w:bottom w:val="single" w:sz="4" w:space="0" w:color="auto"/>
              <w:right w:val="nil"/>
            </w:tcBorders>
            <w:shd w:val="clear" w:color="000000" w:fill="FFFFFF"/>
            <w:vAlign w:val="bottom"/>
            <w:hideMark/>
          </w:tcPr>
          <w:p w14:paraId="36E8A46D"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(2,806)</w:t>
            </w:r>
          </w:p>
        </w:tc>
        <w:tc>
          <w:tcPr>
            <w:tcW w:w="257" w:type="dxa"/>
            <w:tcBorders>
              <w:top w:val="nil"/>
              <w:left w:val="nil"/>
              <w:bottom w:val="nil"/>
              <w:right w:val="nil"/>
            </w:tcBorders>
            <w:shd w:val="clear" w:color="000000" w:fill="FFFFFF"/>
            <w:vAlign w:val="bottom"/>
            <w:hideMark/>
          </w:tcPr>
          <w:p w14:paraId="15F8B641"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single" w:sz="4" w:space="0" w:color="auto"/>
              <w:left w:val="nil"/>
              <w:bottom w:val="single" w:sz="4" w:space="0" w:color="auto"/>
              <w:right w:val="nil"/>
            </w:tcBorders>
            <w:shd w:val="clear" w:color="000000" w:fill="FFFFFF"/>
            <w:vAlign w:val="bottom"/>
            <w:hideMark/>
          </w:tcPr>
          <w:p w14:paraId="01748820"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(3,703)</w:t>
            </w:r>
          </w:p>
        </w:tc>
      </w:tr>
      <w:tr w:rsidR="00E2415E" w:rsidRPr="00E2415E" w14:paraId="0F6CDE23" w14:textId="77777777" w:rsidTr="00F032FF">
        <w:trPr>
          <w:trHeight w:val="240"/>
        </w:trPr>
        <w:tc>
          <w:tcPr>
            <w:tcW w:w="4236" w:type="dxa"/>
            <w:tcBorders>
              <w:top w:val="nil"/>
              <w:left w:val="nil"/>
              <w:bottom w:val="nil"/>
              <w:right w:val="nil"/>
            </w:tcBorders>
            <w:shd w:val="clear" w:color="000000" w:fill="FFFFFF"/>
            <w:noWrap/>
            <w:vAlign w:val="bottom"/>
            <w:hideMark/>
          </w:tcPr>
          <w:p w14:paraId="2D91691A"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Cash and cash equivalents at beginning of period</w:t>
            </w:r>
          </w:p>
        </w:tc>
        <w:tc>
          <w:tcPr>
            <w:tcW w:w="756" w:type="dxa"/>
            <w:tcBorders>
              <w:top w:val="nil"/>
              <w:left w:val="nil"/>
              <w:bottom w:val="nil"/>
              <w:right w:val="nil"/>
            </w:tcBorders>
            <w:shd w:val="clear" w:color="000000" w:fill="FFFFFF"/>
            <w:noWrap/>
            <w:vAlign w:val="bottom"/>
            <w:hideMark/>
          </w:tcPr>
          <w:p w14:paraId="3E79E7BB"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65BBD03E"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1,656 </w:t>
            </w:r>
          </w:p>
        </w:tc>
        <w:tc>
          <w:tcPr>
            <w:tcW w:w="276" w:type="dxa"/>
            <w:tcBorders>
              <w:top w:val="nil"/>
              <w:left w:val="nil"/>
              <w:bottom w:val="nil"/>
              <w:right w:val="nil"/>
            </w:tcBorders>
            <w:shd w:val="clear" w:color="000000" w:fill="FFFFFF"/>
            <w:noWrap/>
            <w:vAlign w:val="bottom"/>
            <w:hideMark/>
          </w:tcPr>
          <w:p w14:paraId="7130B628"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74C9225A"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5,312 </w:t>
            </w:r>
          </w:p>
        </w:tc>
        <w:tc>
          <w:tcPr>
            <w:tcW w:w="257" w:type="dxa"/>
            <w:tcBorders>
              <w:top w:val="nil"/>
              <w:left w:val="nil"/>
              <w:bottom w:val="nil"/>
              <w:right w:val="nil"/>
            </w:tcBorders>
            <w:shd w:val="clear" w:color="000000" w:fill="FFFFFF"/>
            <w:vAlign w:val="bottom"/>
            <w:hideMark/>
          </w:tcPr>
          <w:p w14:paraId="6337C06B"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6CDDAE19"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5,312 </w:t>
            </w:r>
          </w:p>
        </w:tc>
      </w:tr>
      <w:tr w:rsidR="00E2415E" w:rsidRPr="00E2415E" w14:paraId="5BE599A6" w14:textId="77777777" w:rsidTr="00F032FF">
        <w:trPr>
          <w:trHeight w:val="240"/>
        </w:trPr>
        <w:tc>
          <w:tcPr>
            <w:tcW w:w="4236" w:type="dxa"/>
            <w:tcBorders>
              <w:top w:val="nil"/>
              <w:left w:val="nil"/>
              <w:bottom w:val="nil"/>
              <w:right w:val="nil"/>
            </w:tcBorders>
            <w:shd w:val="clear" w:color="000000" w:fill="FFFFFF"/>
            <w:noWrap/>
            <w:vAlign w:val="bottom"/>
            <w:hideMark/>
          </w:tcPr>
          <w:p w14:paraId="5E928B4D" w14:textId="77777777" w:rsidR="00E2415E" w:rsidRPr="00E2415E" w:rsidRDefault="00E2415E" w:rsidP="00E2415E">
            <w:pPr>
              <w:spacing w:after="0"/>
              <w:rPr>
                <w:rFonts w:ascii="Calibri" w:hAnsi="Calibri" w:cs="Arial"/>
                <w:szCs w:val="18"/>
                <w:lang w:eastAsia="en-GB"/>
              </w:rPr>
            </w:pPr>
            <w:r w:rsidRPr="00E2415E">
              <w:rPr>
                <w:rFonts w:ascii="Calibri" w:hAnsi="Calibri" w:cs="Arial"/>
                <w:szCs w:val="18"/>
                <w:lang w:eastAsia="en-GB"/>
              </w:rPr>
              <w:t>Effect of foreign exchange rate changes</w:t>
            </w:r>
          </w:p>
        </w:tc>
        <w:tc>
          <w:tcPr>
            <w:tcW w:w="756" w:type="dxa"/>
            <w:tcBorders>
              <w:top w:val="nil"/>
              <w:left w:val="nil"/>
              <w:bottom w:val="nil"/>
              <w:right w:val="nil"/>
            </w:tcBorders>
            <w:shd w:val="clear" w:color="000000" w:fill="FFFFFF"/>
            <w:noWrap/>
            <w:vAlign w:val="bottom"/>
            <w:hideMark/>
          </w:tcPr>
          <w:p w14:paraId="36F6F7B8"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nil"/>
              <w:left w:val="nil"/>
              <w:bottom w:val="nil"/>
              <w:right w:val="nil"/>
            </w:tcBorders>
            <w:shd w:val="clear" w:color="000000" w:fill="FFFFFF"/>
            <w:vAlign w:val="bottom"/>
            <w:hideMark/>
          </w:tcPr>
          <w:p w14:paraId="3B8A1327"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196 </w:t>
            </w:r>
          </w:p>
        </w:tc>
        <w:tc>
          <w:tcPr>
            <w:tcW w:w="276" w:type="dxa"/>
            <w:tcBorders>
              <w:top w:val="nil"/>
              <w:left w:val="nil"/>
              <w:bottom w:val="nil"/>
              <w:right w:val="nil"/>
            </w:tcBorders>
            <w:shd w:val="clear" w:color="000000" w:fill="FFFFFF"/>
            <w:noWrap/>
            <w:vAlign w:val="bottom"/>
            <w:hideMark/>
          </w:tcPr>
          <w:p w14:paraId="3B0D99AF"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nil"/>
              <w:left w:val="nil"/>
              <w:bottom w:val="nil"/>
              <w:right w:val="nil"/>
            </w:tcBorders>
            <w:shd w:val="clear" w:color="000000" w:fill="FFFFFF"/>
            <w:vAlign w:val="bottom"/>
            <w:hideMark/>
          </w:tcPr>
          <w:p w14:paraId="13CD923D"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(36)</w:t>
            </w:r>
          </w:p>
        </w:tc>
        <w:tc>
          <w:tcPr>
            <w:tcW w:w="257" w:type="dxa"/>
            <w:tcBorders>
              <w:top w:val="nil"/>
              <w:left w:val="nil"/>
              <w:bottom w:val="nil"/>
              <w:right w:val="nil"/>
            </w:tcBorders>
            <w:shd w:val="clear" w:color="000000" w:fill="FFFFFF"/>
            <w:vAlign w:val="bottom"/>
            <w:hideMark/>
          </w:tcPr>
          <w:p w14:paraId="506FE276"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nil"/>
              <w:left w:val="nil"/>
              <w:bottom w:val="nil"/>
              <w:right w:val="nil"/>
            </w:tcBorders>
            <w:shd w:val="clear" w:color="000000" w:fill="FFFFFF"/>
            <w:vAlign w:val="bottom"/>
            <w:hideMark/>
          </w:tcPr>
          <w:p w14:paraId="6F4F9A76"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46 </w:t>
            </w:r>
          </w:p>
        </w:tc>
      </w:tr>
      <w:tr w:rsidR="00E2415E" w:rsidRPr="00E2415E" w14:paraId="3AB162C3" w14:textId="77777777" w:rsidTr="00F032FF">
        <w:trPr>
          <w:trHeight w:val="255"/>
        </w:trPr>
        <w:tc>
          <w:tcPr>
            <w:tcW w:w="4236" w:type="dxa"/>
            <w:tcBorders>
              <w:top w:val="nil"/>
              <w:left w:val="nil"/>
              <w:bottom w:val="nil"/>
              <w:right w:val="nil"/>
            </w:tcBorders>
            <w:shd w:val="clear" w:color="000000" w:fill="FFFFFF"/>
            <w:noWrap/>
            <w:vAlign w:val="bottom"/>
            <w:hideMark/>
          </w:tcPr>
          <w:p w14:paraId="12446E04"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Cash and cash equivalents at end of period</w:t>
            </w:r>
          </w:p>
        </w:tc>
        <w:tc>
          <w:tcPr>
            <w:tcW w:w="756" w:type="dxa"/>
            <w:tcBorders>
              <w:top w:val="nil"/>
              <w:left w:val="nil"/>
              <w:bottom w:val="nil"/>
              <w:right w:val="nil"/>
            </w:tcBorders>
            <w:shd w:val="clear" w:color="000000" w:fill="FFFFFF"/>
            <w:noWrap/>
            <w:vAlign w:val="bottom"/>
            <w:hideMark/>
          </w:tcPr>
          <w:p w14:paraId="663D5AD4" w14:textId="77777777" w:rsidR="00E2415E" w:rsidRPr="00E2415E" w:rsidRDefault="00E2415E" w:rsidP="00E2415E">
            <w:pPr>
              <w:spacing w:after="0"/>
              <w:jc w:val="center"/>
              <w:rPr>
                <w:rFonts w:ascii="Calibri" w:hAnsi="Calibri" w:cs="Arial"/>
                <w:szCs w:val="18"/>
                <w:lang w:eastAsia="en-GB"/>
              </w:rPr>
            </w:pPr>
            <w:r w:rsidRPr="00E2415E">
              <w:rPr>
                <w:rFonts w:ascii="Calibri" w:hAnsi="Calibri" w:cs="Arial"/>
                <w:szCs w:val="18"/>
                <w:lang w:eastAsia="en-GB"/>
              </w:rPr>
              <w:t> </w:t>
            </w:r>
          </w:p>
        </w:tc>
        <w:tc>
          <w:tcPr>
            <w:tcW w:w="1464" w:type="dxa"/>
            <w:tcBorders>
              <w:top w:val="single" w:sz="4" w:space="0" w:color="auto"/>
              <w:left w:val="nil"/>
              <w:bottom w:val="double" w:sz="6" w:space="0" w:color="auto"/>
              <w:right w:val="nil"/>
            </w:tcBorders>
            <w:shd w:val="clear" w:color="000000" w:fill="FFFFFF"/>
            <w:vAlign w:val="bottom"/>
            <w:hideMark/>
          </w:tcPr>
          <w:p w14:paraId="5AD26CE0" w14:textId="77777777" w:rsidR="00E2415E" w:rsidRPr="00E2415E" w:rsidRDefault="00E2415E" w:rsidP="00E2415E">
            <w:pPr>
              <w:spacing w:after="0"/>
              <w:jc w:val="right"/>
              <w:rPr>
                <w:rFonts w:ascii="Calibri" w:hAnsi="Calibri" w:cs="Arial"/>
                <w:b/>
                <w:bCs/>
                <w:szCs w:val="18"/>
                <w:lang w:eastAsia="en-GB"/>
              </w:rPr>
            </w:pPr>
            <w:r w:rsidRPr="00E2415E">
              <w:rPr>
                <w:rFonts w:ascii="Calibri" w:hAnsi="Calibri" w:cs="Arial"/>
                <w:b/>
                <w:bCs/>
                <w:szCs w:val="18"/>
                <w:lang w:eastAsia="en-GB"/>
              </w:rPr>
              <w:t xml:space="preserve">1,108 </w:t>
            </w:r>
          </w:p>
        </w:tc>
        <w:tc>
          <w:tcPr>
            <w:tcW w:w="276" w:type="dxa"/>
            <w:tcBorders>
              <w:top w:val="nil"/>
              <w:left w:val="nil"/>
              <w:bottom w:val="nil"/>
              <w:right w:val="nil"/>
            </w:tcBorders>
            <w:shd w:val="clear" w:color="000000" w:fill="FFFFFF"/>
            <w:noWrap/>
            <w:vAlign w:val="bottom"/>
            <w:hideMark/>
          </w:tcPr>
          <w:p w14:paraId="55A7C2DD" w14:textId="77777777" w:rsidR="00E2415E" w:rsidRPr="00E2415E" w:rsidRDefault="00E2415E" w:rsidP="00E2415E">
            <w:pPr>
              <w:spacing w:after="0"/>
              <w:rPr>
                <w:rFonts w:ascii="Calibri" w:hAnsi="Calibri" w:cs="Arial"/>
                <w:b/>
                <w:bCs/>
                <w:szCs w:val="18"/>
                <w:lang w:eastAsia="en-GB"/>
              </w:rPr>
            </w:pPr>
            <w:r w:rsidRPr="00E2415E">
              <w:rPr>
                <w:rFonts w:ascii="Calibri" w:hAnsi="Calibri" w:cs="Arial"/>
                <w:b/>
                <w:bCs/>
                <w:szCs w:val="18"/>
                <w:lang w:eastAsia="en-GB"/>
              </w:rPr>
              <w:t> </w:t>
            </w:r>
          </w:p>
        </w:tc>
        <w:tc>
          <w:tcPr>
            <w:tcW w:w="1308" w:type="dxa"/>
            <w:tcBorders>
              <w:top w:val="single" w:sz="4" w:space="0" w:color="auto"/>
              <w:left w:val="nil"/>
              <w:bottom w:val="double" w:sz="6" w:space="0" w:color="auto"/>
              <w:right w:val="nil"/>
            </w:tcBorders>
            <w:shd w:val="clear" w:color="000000" w:fill="FFFFFF"/>
            <w:vAlign w:val="bottom"/>
            <w:hideMark/>
          </w:tcPr>
          <w:p w14:paraId="1FEB6AEF"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2,471 </w:t>
            </w:r>
          </w:p>
        </w:tc>
        <w:tc>
          <w:tcPr>
            <w:tcW w:w="257" w:type="dxa"/>
            <w:tcBorders>
              <w:top w:val="nil"/>
              <w:left w:val="nil"/>
              <w:bottom w:val="nil"/>
              <w:right w:val="nil"/>
            </w:tcBorders>
            <w:shd w:val="clear" w:color="000000" w:fill="FFFFFF"/>
            <w:vAlign w:val="bottom"/>
            <w:hideMark/>
          </w:tcPr>
          <w:p w14:paraId="257213B7"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w:t>
            </w:r>
          </w:p>
        </w:tc>
        <w:tc>
          <w:tcPr>
            <w:tcW w:w="1205" w:type="dxa"/>
            <w:tcBorders>
              <w:top w:val="single" w:sz="4" w:space="0" w:color="auto"/>
              <w:left w:val="nil"/>
              <w:bottom w:val="double" w:sz="6" w:space="0" w:color="auto"/>
              <w:right w:val="nil"/>
            </w:tcBorders>
            <w:shd w:val="clear" w:color="000000" w:fill="FFFFFF"/>
            <w:vAlign w:val="bottom"/>
            <w:hideMark/>
          </w:tcPr>
          <w:p w14:paraId="246B127F" w14:textId="77777777" w:rsidR="00E2415E" w:rsidRPr="00E2415E" w:rsidRDefault="00E2415E" w:rsidP="00E2415E">
            <w:pPr>
              <w:spacing w:after="0"/>
              <w:jc w:val="right"/>
              <w:rPr>
                <w:rFonts w:ascii="Calibri" w:hAnsi="Calibri" w:cs="Arial"/>
                <w:szCs w:val="18"/>
                <w:lang w:eastAsia="en-GB"/>
              </w:rPr>
            </w:pPr>
            <w:r w:rsidRPr="00E2415E">
              <w:rPr>
                <w:rFonts w:ascii="Calibri" w:hAnsi="Calibri" w:cs="Arial"/>
                <w:szCs w:val="18"/>
                <w:lang w:eastAsia="en-GB"/>
              </w:rPr>
              <w:t xml:space="preserve">1,656 </w:t>
            </w:r>
          </w:p>
        </w:tc>
      </w:tr>
    </w:tbl>
    <w:p w14:paraId="42269766" w14:textId="77777777" w:rsidR="00784641" w:rsidRDefault="00784641" w:rsidP="00784641">
      <w:pPr>
        <w:rPr>
          <w:rFonts w:ascii="Calibri" w:hAnsi="Calibri"/>
          <w:color w:val="000000"/>
          <w:highlight w:val="yellow"/>
        </w:rPr>
      </w:pPr>
    </w:p>
    <w:p w14:paraId="18E91721" w14:textId="77777777" w:rsidR="00F032FF" w:rsidRDefault="00F032FF" w:rsidP="00784641">
      <w:pPr>
        <w:rPr>
          <w:rFonts w:ascii="Calibri" w:hAnsi="Calibri"/>
          <w:color w:val="000000"/>
          <w:highlight w:val="yellow"/>
        </w:rPr>
      </w:pPr>
    </w:p>
    <w:p w14:paraId="7FC628C5" w14:textId="77777777" w:rsidR="00F032FF" w:rsidRDefault="00F032FF">
      <w:pPr>
        <w:spacing w:after="160" w:line="259" w:lineRule="auto"/>
        <w:rPr>
          <w:b/>
          <w:sz w:val="22"/>
        </w:rPr>
      </w:pPr>
      <w:r>
        <w:rPr>
          <w:b/>
        </w:rPr>
        <w:br w:type="page"/>
      </w:r>
    </w:p>
    <w:p w14:paraId="7C4632A2" w14:textId="3027BE8E" w:rsidR="00F032FF" w:rsidRPr="004F7E52" w:rsidRDefault="00F032FF" w:rsidP="00F032FF">
      <w:pPr>
        <w:pStyle w:val="Header"/>
        <w:rPr>
          <w:b/>
        </w:rPr>
      </w:pPr>
      <w:r>
        <w:rPr>
          <w:b/>
        </w:rPr>
        <w:lastRenderedPageBreak/>
        <w:t>7digital</w:t>
      </w:r>
      <w:r w:rsidRPr="004F7E52">
        <w:rPr>
          <w:b/>
        </w:rPr>
        <w:t xml:space="preserve"> Group plc</w:t>
      </w:r>
    </w:p>
    <w:p w14:paraId="2C117C25" w14:textId="77777777" w:rsidR="00F032FF" w:rsidRDefault="00F032FF" w:rsidP="00F032FF">
      <w:pPr>
        <w:pStyle w:val="Header"/>
        <w:rPr>
          <w:b/>
        </w:rPr>
      </w:pPr>
      <w:r>
        <w:rPr>
          <w:b/>
        </w:rPr>
        <w:t>Condensed consolidated statement of changes in equity</w:t>
      </w:r>
    </w:p>
    <w:p w14:paraId="35D464B2" w14:textId="77777777" w:rsidR="00F032FF" w:rsidRDefault="00F032FF" w:rsidP="00F032FF">
      <w:pPr>
        <w:pStyle w:val="Header"/>
        <w:rPr>
          <w:b/>
        </w:rPr>
      </w:pPr>
      <w:r>
        <w:rPr>
          <w:b/>
        </w:rPr>
        <w:t>Six months ended 30 June 2016 (unaudited)</w:t>
      </w:r>
    </w:p>
    <w:tbl>
      <w:tblPr>
        <w:tblW w:w="9782" w:type="dxa"/>
        <w:tblInd w:w="-318" w:type="dxa"/>
        <w:tblLook w:val="04A0" w:firstRow="1" w:lastRow="0" w:firstColumn="1" w:lastColumn="0" w:noHBand="0" w:noVBand="1"/>
      </w:tblPr>
      <w:tblGrid>
        <w:gridCol w:w="2112"/>
        <w:gridCol w:w="1111"/>
        <w:gridCol w:w="302"/>
        <w:gridCol w:w="1137"/>
        <w:gridCol w:w="258"/>
        <w:gridCol w:w="877"/>
        <w:gridCol w:w="271"/>
        <w:gridCol w:w="1119"/>
        <w:gridCol w:w="258"/>
        <w:gridCol w:w="1036"/>
        <w:gridCol w:w="258"/>
        <w:gridCol w:w="1043"/>
      </w:tblGrid>
      <w:tr w:rsidR="004C0C8A" w:rsidRPr="003105FC" w14:paraId="4ADA34DF" w14:textId="77777777" w:rsidTr="003105FC">
        <w:trPr>
          <w:trHeight w:val="720"/>
        </w:trPr>
        <w:tc>
          <w:tcPr>
            <w:tcW w:w="2112" w:type="dxa"/>
            <w:tcBorders>
              <w:top w:val="nil"/>
              <w:left w:val="nil"/>
              <w:bottom w:val="nil"/>
              <w:right w:val="nil"/>
            </w:tcBorders>
            <w:shd w:val="clear" w:color="000000" w:fill="FFFFFF"/>
            <w:noWrap/>
            <w:vAlign w:val="bottom"/>
            <w:hideMark/>
          </w:tcPr>
          <w:bookmarkEnd w:id="4"/>
          <w:p w14:paraId="5D8B059C"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 </w:t>
            </w:r>
          </w:p>
        </w:tc>
        <w:tc>
          <w:tcPr>
            <w:tcW w:w="1111" w:type="dxa"/>
            <w:tcBorders>
              <w:top w:val="nil"/>
              <w:left w:val="nil"/>
              <w:bottom w:val="nil"/>
              <w:right w:val="nil"/>
            </w:tcBorders>
            <w:shd w:val="clear" w:color="000000" w:fill="FFFFFF"/>
            <w:vAlign w:val="bottom"/>
            <w:hideMark/>
          </w:tcPr>
          <w:p w14:paraId="39631E8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Share capital</w:t>
            </w:r>
          </w:p>
        </w:tc>
        <w:tc>
          <w:tcPr>
            <w:tcW w:w="302" w:type="dxa"/>
            <w:tcBorders>
              <w:top w:val="nil"/>
              <w:left w:val="nil"/>
              <w:bottom w:val="nil"/>
              <w:right w:val="nil"/>
            </w:tcBorders>
            <w:shd w:val="clear" w:color="000000" w:fill="FFFFFF"/>
            <w:vAlign w:val="bottom"/>
            <w:hideMark/>
          </w:tcPr>
          <w:p w14:paraId="2A97916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bottom"/>
            <w:hideMark/>
          </w:tcPr>
          <w:p w14:paraId="13B25DF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Share premium account</w:t>
            </w:r>
          </w:p>
        </w:tc>
        <w:tc>
          <w:tcPr>
            <w:tcW w:w="258" w:type="dxa"/>
            <w:tcBorders>
              <w:top w:val="nil"/>
              <w:left w:val="nil"/>
              <w:bottom w:val="nil"/>
              <w:right w:val="nil"/>
            </w:tcBorders>
            <w:shd w:val="clear" w:color="000000" w:fill="FFFFFF"/>
            <w:vAlign w:val="bottom"/>
            <w:hideMark/>
          </w:tcPr>
          <w:p w14:paraId="3CCB60A9"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bottom"/>
            <w:hideMark/>
          </w:tcPr>
          <w:p w14:paraId="6148195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Treasury reserves</w:t>
            </w:r>
          </w:p>
        </w:tc>
        <w:tc>
          <w:tcPr>
            <w:tcW w:w="271" w:type="dxa"/>
            <w:tcBorders>
              <w:top w:val="nil"/>
              <w:left w:val="nil"/>
              <w:bottom w:val="nil"/>
              <w:right w:val="nil"/>
            </w:tcBorders>
            <w:shd w:val="clear" w:color="000000" w:fill="FFFFFF"/>
            <w:vAlign w:val="bottom"/>
            <w:hideMark/>
          </w:tcPr>
          <w:p w14:paraId="2602338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bottom"/>
            <w:hideMark/>
          </w:tcPr>
          <w:p w14:paraId="3D7F3F4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Other reserves</w:t>
            </w:r>
          </w:p>
        </w:tc>
        <w:tc>
          <w:tcPr>
            <w:tcW w:w="258" w:type="dxa"/>
            <w:tcBorders>
              <w:top w:val="nil"/>
              <w:left w:val="nil"/>
              <w:bottom w:val="nil"/>
              <w:right w:val="nil"/>
            </w:tcBorders>
            <w:shd w:val="clear" w:color="000000" w:fill="FFFFFF"/>
            <w:vAlign w:val="bottom"/>
            <w:hideMark/>
          </w:tcPr>
          <w:p w14:paraId="55AB1E9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bottom"/>
            <w:hideMark/>
          </w:tcPr>
          <w:p w14:paraId="20C28A7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Retained earnings</w:t>
            </w:r>
          </w:p>
        </w:tc>
        <w:tc>
          <w:tcPr>
            <w:tcW w:w="258" w:type="dxa"/>
            <w:tcBorders>
              <w:top w:val="nil"/>
              <w:left w:val="nil"/>
              <w:bottom w:val="nil"/>
              <w:right w:val="nil"/>
            </w:tcBorders>
            <w:shd w:val="clear" w:color="000000" w:fill="FFFFFF"/>
            <w:vAlign w:val="bottom"/>
            <w:hideMark/>
          </w:tcPr>
          <w:p w14:paraId="62469C6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bottom"/>
            <w:hideMark/>
          </w:tcPr>
          <w:p w14:paraId="49EAAC20"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Total</w:t>
            </w:r>
          </w:p>
        </w:tc>
      </w:tr>
      <w:tr w:rsidR="004C0C8A" w:rsidRPr="003105FC" w14:paraId="687EFA42" w14:textId="77777777" w:rsidTr="003105FC">
        <w:trPr>
          <w:trHeight w:val="240"/>
        </w:trPr>
        <w:tc>
          <w:tcPr>
            <w:tcW w:w="2112" w:type="dxa"/>
            <w:tcBorders>
              <w:top w:val="nil"/>
              <w:left w:val="nil"/>
              <w:bottom w:val="nil"/>
              <w:right w:val="nil"/>
            </w:tcBorders>
            <w:shd w:val="clear" w:color="000000" w:fill="FFFFFF"/>
            <w:noWrap/>
            <w:vAlign w:val="bottom"/>
            <w:hideMark/>
          </w:tcPr>
          <w:p w14:paraId="302B2268"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 </w:t>
            </w:r>
          </w:p>
        </w:tc>
        <w:tc>
          <w:tcPr>
            <w:tcW w:w="1111" w:type="dxa"/>
            <w:tcBorders>
              <w:top w:val="nil"/>
              <w:left w:val="nil"/>
              <w:bottom w:val="nil"/>
              <w:right w:val="nil"/>
            </w:tcBorders>
            <w:shd w:val="clear" w:color="000000" w:fill="FFFFFF"/>
            <w:noWrap/>
            <w:vAlign w:val="bottom"/>
            <w:hideMark/>
          </w:tcPr>
          <w:p w14:paraId="01D3CFF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£'000</w:t>
            </w:r>
          </w:p>
        </w:tc>
        <w:tc>
          <w:tcPr>
            <w:tcW w:w="302" w:type="dxa"/>
            <w:tcBorders>
              <w:top w:val="nil"/>
              <w:left w:val="nil"/>
              <w:bottom w:val="nil"/>
              <w:right w:val="nil"/>
            </w:tcBorders>
            <w:shd w:val="clear" w:color="000000" w:fill="FFFFFF"/>
            <w:noWrap/>
            <w:vAlign w:val="bottom"/>
            <w:hideMark/>
          </w:tcPr>
          <w:p w14:paraId="35DEFF7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noWrap/>
            <w:vAlign w:val="bottom"/>
            <w:hideMark/>
          </w:tcPr>
          <w:p w14:paraId="46FA666C"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£'000</w:t>
            </w:r>
          </w:p>
        </w:tc>
        <w:tc>
          <w:tcPr>
            <w:tcW w:w="258" w:type="dxa"/>
            <w:tcBorders>
              <w:top w:val="nil"/>
              <w:left w:val="nil"/>
              <w:bottom w:val="nil"/>
              <w:right w:val="nil"/>
            </w:tcBorders>
            <w:shd w:val="clear" w:color="000000" w:fill="FFFFFF"/>
            <w:noWrap/>
            <w:vAlign w:val="bottom"/>
            <w:hideMark/>
          </w:tcPr>
          <w:p w14:paraId="0F381BF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noWrap/>
            <w:vAlign w:val="bottom"/>
            <w:hideMark/>
          </w:tcPr>
          <w:p w14:paraId="7694DD2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£'000</w:t>
            </w:r>
          </w:p>
        </w:tc>
        <w:tc>
          <w:tcPr>
            <w:tcW w:w="271" w:type="dxa"/>
            <w:tcBorders>
              <w:top w:val="nil"/>
              <w:left w:val="nil"/>
              <w:bottom w:val="nil"/>
              <w:right w:val="nil"/>
            </w:tcBorders>
            <w:shd w:val="clear" w:color="000000" w:fill="FFFFFF"/>
            <w:noWrap/>
            <w:vAlign w:val="bottom"/>
            <w:hideMark/>
          </w:tcPr>
          <w:p w14:paraId="47F594A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noWrap/>
            <w:vAlign w:val="bottom"/>
            <w:hideMark/>
          </w:tcPr>
          <w:p w14:paraId="3355E44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£'000</w:t>
            </w:r>
          </w:p>
        </w:tc>
        <w:tc>
          <w:tcPr>
            <w:tcW w:w="258" w:type="dxa"/>
            <w:tcBorders>
              <w:top w:val="nil"/>
              <w:left w:val="nil"/>
              <w:bottom w:val="nil"/>
              <w:right w:val="nil"/>
            </w:tcBorders>
            <w:shd w:val="clear" w:color="000000" w:fill="FFFFFF"/>
            <w:noWrap/>
            <w:vAlign w:val="bottom"/>
            <w:hideMark/>
          </w:tcPr>
          <w:p w14:paraId="012438F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noWrap/>
            <w:vAlign w:val="bottom"/>
            <w:hideMark/>
          </w:tcPr>
          <w:p w14:paraId="65A9164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£'000</w:t>
            </w:r>
          </w:p>
        </w:tc>
        <w:tc>
          <w:tcPr>
            <w:tcW w:w="258" w:type="dxa"/>
            <w:tcBorders>
              <w:top w:val="nil"/>
              <w:left w:val="nil"/>
              <w:bottom w:val="nil"/>
              <w:right w:val="nil"/>
            </w:tcBorders>
            <w:shd w:val="clear" w:color="000000" w:fill="FFFFFF"/>
            <w:noWrap/>
            <w:vAlign w:val="bottom"/>
            <w:hideMark/>
          </w:tcPr>
          <w:p w14:paraId="22C9238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noWrap/>
            <w:vAlign w:val="bottom"/>
            <w:hideMark/>
          </w:tcPr>
          <w:p w14:paraId="1965912C"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£'000</w:t>
            </w:r>
          </w:p>
        </w:tc>
      </w:tr>
      <w:tr w:rsidR="00B71EAB" w:rsidRPr="003105FC" w14:paraId="308A570D" w14:textId="77777777" w:rsidTr="003105FC">
        <w:trPr>
          <w:trHeight w:val="240"/>
        </w:trPr>
        <w:tc>
          <w:tcPr>
            <w:tcW w:w="2112" w:type="dxa"/>
            <w:tcBorders>
              <w:top w:val="nil"/>
              <w:left w:val="nil"/>
              <w:bottom w:val="nil"/>
              <w:right w:val="nil"/>
            </w:tcBorders>
            <w:shd w:val="clear" w:color="000000" w:fill="FFFFFF"/>
            <w:noWrap/>
            <w:vAlign w:val="bottom"/>
            <w:hideMark/>
          </w:tcPr>
          <w:p w14:paraId="6A53956F" w14:textId="77777777" w:rsidR="003105FC" w:rsidRPr="003105FC" w:rsidRDefault="003105FC" w:rsidP="003105FC">
            <w:pPr>
              <w:spacing w:after="0"/>
              <w:rPr>
                <w:rFonts w:ascii="Calibri" w:hAnsi="Calibri" w:cs="Arial"/>
                <w:b/>
                <w:bCs/>
                <w:szCs w:val="18"/>
                <w:lang w:eastAsia="en-GB"/>
              </w:rPr>
            </w:pPr>
            <w:r w:rsidRPr="003105FC">
              <w:rPr>
                <w:rFonts w:ascii="Calibri" w:hAnsi="Calibri" w:cs="Arial"/>
                <w:b/>
                <w:bCs/>
                <w:szCs w:val="18"/>
                <w:lang w:eastAsia="en-GB"/>
              </w:rPr>
              <w:t>At 1 January 2015</w:t>
            </w:r>
          </w:p>
        </w:tc>
        <w:tc>
          <w:tcPr>
            <w:tcW w:w="1111" w:type="dxa"/>
            <w:tcBorders>
              <w:top w:val="nil"/>
              <w:left w:val="nil"/>
              <w:bottom w:val="nil"/>
              <w:right w:val="nil"/>
            </w:tcBorders>
            <w:shd w:val="clear" w:color="000000" w:fill="FFFFFF"/>
            <w:vAlign w:val="center"/>
            <w:hideMark/>
          </w:tcPr>
          <w:p w14:paraId="2398ACE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10,833 </w:t>
            </w:r>
          </w:p>
        </w:tc>
        <w:tc>
          <w:tcPr>
            <w:tcW w:w="302" w:type="dxa"/>
            <w:tcBorders>
              <w:top w:val="nil"/>
              <w:left w:val="nil"/>
              <w:bottom w:val="nil"/>
              <w:right w:val="nil"/>
            </w:tcBorders>
            <w:shd w:val="clear" w:color="000000" w:fill="FFFFFF"/>
            <w:vAlign w:val="center"/>
            <w:hideMark/>
          </w:tcPr>
          <w:p w14:paraId="332DCAC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7EC8D1E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17,278 </w:t>
            </w:r>
          </w:p>
        </w:tc>
        <w:tc>
          <w:tcPr>
            <w:tcW w:w="258" w:type="dxa"/>
            <w:tcBorders>
              <w:top w:val="nil"/>
              <w:left w:val="nil"/>
              <w:bottom w:val="nil"/>
              <w:right w:val="nil"/>
            </w:tcBorders>
            <w:shd w:val="clear" w:color="000000" w:fill="FFFFFF"/>
            <w:vAlign w:val="center"/>
            <w:hideMark/>
          </w:tcPr>
          <w:p w14:paraId="7928E80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31592FA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(215)</w:t>
            </w:r>
          </w:p>
        </w:tc>
        <w:tc>
          <w:tcPr>
            <w:tcW w:w="271" w:type="dxa"/>
            <w:tcBorders>
              <w:top w:val="nil"/>
              <w:left w:val="nil"/>
              <w:bottom w:val="nil"/>
              <w:right w:val="nil"/>
            </w:tcBorders>
            <w:shd w:val="clear" w:color="000000" w:fill="FFFFFF"/>
            <w:noWrap/>
            <w:vAlign w:val="bottom"/>
            <w:hideMark/>
          </w:tcPr>
          <w:p w14:paraId="4584EF0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17D3D57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(1,456)</w:t>
            </w:r>
          </w:p>
        </w:tc>
        <w:tc>
          <w:tcPr>
            <w:tcW w:w="258" w:type="dxa"/>
            <w:tcBorders>
              <w:top w:val="nil"/>
              <w:left w:val="nil"/>
              <w:bottom w:val="nil"/>
              <w:right w:val="nil"/>
            </w:tcBorders>
            <w:shd w:val="clear" w:color="000000" w:fill="FFFFFF"/>
            <w:vAlign w:val="center"/>
            <w:hideMark/>
          </w:tcPr>
          <w:p w14:paraId="34AFEC0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5BFD8C5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(15,311)</w:t>
            </w:r>
          </w:p>
        </w:tc>
        <w:tc>
          <w:tcPr>
            <w:tcW w:w="258" w:type="dxa"/>
            <w:tcBorders>
              <w:top w:val="nil"/>
              <w:left w:val="nil"/>
              <w:bottom w:val="nil"/>
              <w:right w:val="nil"/>
            </w:tcBorders>
            <w:shd w:val="clear" w:color="000000" w:fill="FFFFFF"/>
            <w:vAlign w:val="center"/>
            <w:hideMark/>
          </w:tcPr>
          <w:p w14:paraId="28FD1B3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11096592"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11,128 </w:t>
            </w:r>
          </w:p>
        </w:tc>
      </w:tr>
      <w:tr w:rsidR="00B71EAB" w:rsidRPr="003105FC" w14:paraId="10C65BD4" w14:textId="77777777" w:rsidTr="003105FC">
        <w:trPr>
          <w:trHeight w:val="240"/>
        </w:trPr>
        <w:tc>
          <w:tcPr>
            <w:tcW w:w="2112" w:type="dxa"/>
            <w:tcBorders>
              <w:top w:val="nil"/>
              <w:left w:val="nil"/>
              <w:bottom w:val="nil"/>
              <w:right w:val="nil"/>
            </w:tcBorders>
            <w:shd w:val="clear" w:color="000000" w:fill="FFFFFF"/>
            <w:noWrap/>
            <w:vAlign w:val="bottom"/>
            <w:hideMark/>
          </w:tcPr>
          <w:p w14:paraId="463A4C5D"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Loss for the period</w:t>
            </w:r>
          </w:p>
        </w:tc>
        <w:tc>
          <w:tcPr>
            <w:tcW w:w="1111" w:type="dxa"/>
            <w:tcBorders>
              <w:top w:val="nil"/>
              <w:left w:val="nil"/>
              <w:bottom w:val="nil"/>
              <w:right w:val="nil"/>
            </w:tcBorders>
            <w:shd w:val="clear" w:color="000000" w:fill="FFFFFF"/>
            <w:vAlign w:val="center"/>
            <w:hideMark/>
          </w:tcPr>
          <w:p w14:paraId="45905FE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4EBD06A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44B407C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499C685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105AB64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030FAD3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0B75E92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457D8D6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7CA58C68" w14:textId="77777777" w:rsidR="003105FC" w:rsidRPr="003105FC" w:rsidRDefault="003105FC" w:rsidP="002D491F">
            <w:pPr>
              <w:spacing w:after="0"/>
              <w:jc w:val="right"/>
              <w:rPr>
                <w:rFonts w:ascii="Calibri" w:hAnsi="Calibri" w:cs="Arial"/>
                <w:szCs w:val="18"/>
                <w:lang w:eastAsia="en-GB"/>
              </w:rPr>
            </w:pPr>
            <w:r w:rsidRPr="003105FC">
              <w:rPr>
                <w:rFonts w:ascii="Calibri" w:hAnsi="Calibri" w:cs="Arial"/>
                <w:szCs w:val="18"/>
                <w:lang w:eastAsia="en-GB"/>
              </w:rPr>
              <w:t>(6,</w:t>
            </w:r>
            <w:r w:rsidR="002D491F">
              <w:rPr>
                <w:rFonts w:ascii="Calibri" w:hAnsi="Calibri" w:cs="Arial"/>
                <w:szCs w:val="18"/>
                <w:lang w:eastAsia="en-GB"/>
              </w:rPr>
              <w:t>597</w:t>
            </w:r>
            <w:r w:rsidRPr="003105FC">
              <w:rPr>
                <w:rFonts w:ascii="Calibri" w:hAnsi="Calibri" w:cs="Arial"/>
                <w:szCs w:val="18"/>
                <w:lang w:eastAsia="en-GB"/>
              </w:rPr>
              <w:t>)</w:t>
            </w:r>
          </w:p>
        </w:tc>
        <w:tc>
          <w:tcPr>
            <w:tcW w:w="258" w:type="dxa"/>
            <w:tcBorders>
              <w:top w:val="nil"/>
              <w:left w:val="nil"/>
              <w:bottom w:val="nil"/>
              <w:right w:val="nil"/>
            </w:tcBorders>
            <w:shd w:val="clear" w:color="000000" w:fill="FFFFFF"/>
            <w:vAlign w:val="center"/>
            <w:hideMark/>
          </w:tcPr>
          <w:p w14:paraId="76085BF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39BC8851" w14:textId="77777777" w:rsidR="003105FC" w:rsidRPr="003105FC" w:rsidRDefault="003105FC" w:rsidP="002D491F">
            <w:pPr>
              <w:spacing w:after="0"/>
              <w:jc w:val="right"/>
              <w:rPr>
                <w:rFonts w:ascii="Calibri" w:hAnsi="Calibri" w:cs="Arial"/>
                <w:b/>
                <w:bCs/>
                <w:szCs w:val="18"/>
                <w:lang w:eastAsia="en-GB"/>
              </w:rPr>
            </w:pPr>
            <w:r w:rsidRPr="003105FC">
              <w:rPr>
                <w:rFonts w:ascii="Calibri" w:hAnsi="Calibri" w:cs="Arial"/>
                <w:b/>
                <w:bCs/>
                <w:szCs w:val="18"/>
                <w:lang w:eastAsia="en-GB"/>
              </w:rPr>
              <w:t>(6,</w:t>
            </w:r>
            <w:r w:rsidR="002D491F">
              <w:rPr>
                <w:rFonts w:ascii="Calibri" w:hAnsi="Calibri" w:cs="Arial"/>
                <w:b/>
                <w:bCs/>
                <w:szCs w:val="18"/>
                <w:lang w:eastAsia="en-GB"/>
              </w:rPr>
              <w:t>597</w:t>
            </w:r>
            <w:r w:rsidRPr="003105FC">
              <w:rPr>
                <w:rFonts w:ascii="Calibri" w:hAnsi="Calibri" w:cs="Arial"/>
                <w:b/>
                <w:bCs/>
                <w:szCs w:val="18"/>
                <w:lang w:eastAsia="en-GB"/>
              </w:rPr>
              <w:t>)</w:t>
            </w:r>
          </w:p>
        </w:tc>
      </w:tr>
      <w:tr w:rsidR="00B71EAB" w:rsidRPr="003105FC" w14:paraId="614BBF53" w14:textId="77777777" w:rsidTr="003105FC">
        <w:trPr>
          <w:trHeight w:val="480"/>
        </w:trPr>
        <w:tc>
          <w:tcPr>
            <w:tcW w:w="2112" w:type="dxa"/>
            <w:tcBorders>
              <w:top w:val="nil"/>
              <w:left w:val="nil"/>
              <w:bottom w:val="nil"/>
              <w:right w:val="nil"/>
            </w:tcBorders>
            <w:shd w:val="clear" w:color="000000" w:fill="FFFFFF"/>
            <w:vAlign w:val="bottom"/>
            <w:hideMark/>
          </w:tcPr>
          <w:p w14:paraId="24BD83AC"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Other comprehensive income for the period</w:t>
            </w:r>
          </w:p>
        </w:tc>
        <w:tc>
          <w:tcPr>
            <w:tcW w:w="1111" w:type="dxa"/>
            <w:tcBorders>
              <w:top w:val="nil"/>
              <w:left w:val="nil"/>
              <w:bottom w:val="nil"/>
              <w:right w:val="nil"/>
            </w:tcBorders>
            <w:shd w:val="clear" w:color="000000" w:fill="FFFFFF"/>
            <w:vAlign w:val="center"/>
            <w:hideMark/>
          </w:tcPr>
          <w:p w14:paraId="1571250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30A6DC6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0C6156B9"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0D48B6C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3997986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07BF5BA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532CB9A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(2,953)</w:t>
            </w:r>
          </w:p>
        </w:tc>
        <w:tc>
          <w:tcPr>
            <w:tcW w:w="258" w:type="dxa"/>
            <w:tcBorders>
              <w:top w:val="nil"/>
              <w:left w:val="nil"/>
              <w:bottom w:val="nil"/>
              <w:right w:val="nil"/>
            </w:tcBorders>
            <w:shd w:val="clear" w:color="000000" w:fill="FFFFFF"/>
            <w:vAlign w:val="center"/>
            <w:hideMark/>
          </w:tcPr>
          <w:p w14:paraId="75DB82F9"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013C90F5" w14:textId="77777777" w:rsidR="003105FC" w:rsidRPr="003105FC" w:rsidRDefault="003105FC" w:rsidP="002D491F">
            <w:pPr>
              <w:spacing w:after="0"/>
              <w:jc w:val="right"/>
              <w:rPr>
                <w:rFonts w:ascii="Calibri" w:hAnsi="Calibri" w:cs="Arial"/>
                <w:szCs w:val="18"/>
                <w:lang w:eastAsia="en-GB"/>
              </w:rPr>
            </w:pPr>
            <w:r w:rsidRPr="003105FC">
              <w:rPr>
                <w:rFonts w:ascii="Calibri" w:hAnsi="Calibri" w:cs="Arial"/>
                <w:szCs w:val="18"/>
                <w:lang w:eastAsia="en-GB"/>
              </w:rPr>
              <w:t>2,8</w:t>
            </w:r>
            <w:r w:rsidR="002D491F">
              <w:rPr>
                <w:rFonts w:ascii="Calibri" w:hAnsi="Calibri" w:cs="Arial"/>
                <w:szCs w:val="18"/>
                <w:lang w:eastAsia="en-GB"/>
              </w:rPr>
              <w:t>1</w:t>
            </w:r>
            <w:r w:rsidRPr="003105FC">
              <w:rPr>
                <w:rFonts w:ascii="Calibri" w:hAnsi="Calibri" w:cs="Arial"/>
                <w:szCs w:val="18"/>
                <w:lang w:eastAsia="en-GB"/>
              </w:rPr>
              <w:t xml:space="preserve">4 </w:t>
            </w:r>
          </w:p>
        </w:tc>
        <w:tc>
          <w:tcPr>
            <w:tcW w:w="258" w:type="dxa"/>
            <w:tcBorders>
              <w:top w:val="nil"/>
              <w:left w:val="nil"/>
              <w:bottom w:val="nil"/>
              <w:right w:val="nil"/>
            </w:tcBorders>
            <w:shd w:val="clear" w:color="000000" w:fill="FFFFFF"/>
            <w:vAlign w:val="center"/>
            <w:hideMark/>
          </w:tcPr>
          <w:p w14:paraId="0B91BC4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70F0CF40"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(1</w:t>
            </w:r>
            <w:r w:rsidR="002D491F">
              <w:rPr>
                <w:rFonts w:ascii="Calibri" w:hAnsi="Calibri" w:cs="Arial"/>
                <w:b/>
                <w:bCs/>
                <w:szCs w:val="18"/>
                <w:lang w:eastAsia="en-GB"/>
              </w:rPr>
              <w:t>39</w:t>
            </w:r>
            <w:r w:rsidRPr="003105FC">
              <w:rPr>
                <w:rFonts w:ascii="Calibri" w:hAnsi="Calibri" w:cs="Arial"/>
                <w:b/>
                <w:bCs/>
                <w:szCs w:val="18"/>
                <w:lang w:eastAsia="en-GB"/>
              </w:rPr>
              <w:t>)</w:t>
            </w:r>
          </w:p>
        </w:tc>
      </w:tr>
      <w:tr w:rsidR="00B71EAB" w:rsidRPr="003105FC" w14:paraId="4ADBFC50" w14:textId="77777777" w:rsidTr="003105FC">
        <w:trPr>
          <w:trHeight w:val="240"/>
        </w:trPr>
        <w:tc>
          <w:tcPr>
            <w:tcW w:w="2112" w:type="dxa"/>
            <w:tcBorders>
              <w:top w:val="nil"/>
              <w:left w:val="nil"/>
              <w:bottom w:val="nil"/>
              <w:right w:val="nil"/>
            </w:tcBorders>
            <w:shd w:val="clear" w:color="000000" w:fill="FFFFFF"/>
            <w:vAlign w:val="bottom"/>
            <w:hideMark/>
          </w:tcPr>
          <w:p w14:paraId="31F7B922"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Share based payment</w:t>
            </w:r>
          </w:p>
        </w:tc>
        <w:tc>
          <w:tcPr>
            <w:tcW w:w="1111" w:type="dxa"/>
            <w:tcBorders>
              <w:top w:val="nil"/>
              <w:left w:val="nil"/>
              <w:bottom w:val="nil"/>
              <w:right w:val="nil"/>
            </w:tcBorders>
            <w:shd w:val="clear" w:color="000000" w:fill="FFFFFF"/>
            <w:vAlign w:val="center"/>
            <w:hideMark/>
          </w:tcPr>
          <w:p w14:paraId="0786090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11 </w:t>
            </w:r>
          </w:p>
        </w:tc>
        <w:tc>
          <w:tcPr>
            <w:tcW w:w="302" w:type="dxa"/>
            <w:tcBorders>
              <w:top w:val="nil"/>
              <w:left w:val="nil"/>
              <w:bottom w:val="nil"/>
              <w:right w:val="nil"/>
            </w:tcBorders>
            <w:shd w:val="clear" w:color="000000" w:fill="FFFFFF"/>
            <w:vAlign w:val="center"/>
            <w:hideMark/>
          </w:tcPr>
          <w:p w14:paraId="3C13E89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62CECD6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32AB05D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660BFAF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142 </w:t>
            </w:r>
          </w:p>
        </w:tc>
        <w:tc>
          <w:tcPr>
            <w:tcW w:w="271" w:type="dxa"/>
            <w:tcBorders>
              <w:top w:val="nil"/>
              <w:left w:val="nil"/>
              <w:bottom w:val="nil"/>
              <w:right w:val="nil"/>
            </w:tcBorders>
            <w:shd w:val="clear" w:color="000000" w:fill="FFFFFF"/>
            <w:noWrap/>
            <w:vAlign w:val="bottom"/>
            <w:hideMark/>
          </w:tcPr>
          <w:p w14:paraId="74A8E61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0E8F2DC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25DC4B9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0F4BC17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w:t>
            </w:r>
            <w:r w:rsidR="002D491F">
              <w:rPr>
                <w:rFonts w:ascii="Calibri" w:hAnsi="Calibri" w:cs="Arial"/>
                <w:szCs w:val="18"/>
                <w:lang w:eastAsia="en-GB"/>
              </w:rPr>
              <w:t>95</w:t>
            </w:r>
            <w:r w:rsidRPr="003105FC">
              <w:rPr>
                <w:rFonts w:ascii="Calibri" w:hAnsi="Calibri" w:cs="Arial"/>
                <w:szCs w:val="18"/>
                <w:lang w:eastAsia="en-GB"/>
              </w:rPr>
              <w:t>)</w:t>
            </w:r>
          </w:p>
        </w:tc>
        <w:tc>
          <w:tcPr>
            <w:tcW w:w="258" w:type="dxa"/>
            <w:tcBorders>
              <w:top w:val="nil"/>
              <w:left w:val="nil"/>
              <w:bottom w:val="nil"/>
              <w:right w:val="nil"/>
            </w:tcBorders>
            <w:shd w:val="clear" w:color="000000" w:fill="FFFFFF"/>
            <w:vAlign w:val="center"/>
            <w:hideMark/>
          </w:tcPr>
          <w:p w14:paraId="68497FC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66B863DD" w14:textId="77777777" w:rsidR="003105FC" w:rsidRPr="003105FC" w:rsidRDefault="002D491F" w:rsidP="003105FC">
            <w:pPr>
              <w:spacing w:after="0"/>
              <w:jc w:val="right"/>
              <w:rPr>
                <w:rFonts w:ascii="Calibri" w:hAnsi="Calibri" w:cs="Arial"/>
                <w:b/>
                <w:bCs/>
                <w:szCs w:val="18"/>
                <w:lang w:eastAsia="en-GB"/>
              </w:rPr>
            </w:pPr>
            <w:r>
              <w:rPr>
                <w:rFonts w:ascii="Calibri" w:hAnsi="Calibri" w:cs="Arial"/>
                <w:b/>
                <w:bCs/>
                <w:szCs w:val="18"/>
                <w:lang w:eastAsia="en-GB"/>
              </w:rPr>
              <w:t>58</w:t>
            </w:r>
            <w:r w:rsidR="003105FC" w:rsidRPr="003105FC">
              <w:rPr>
                <w:rFonts w:ascii="Calibri" w:hAnsi="Calibri" w:cs="Arial"/>
                <w:b/>
                <w:bCs/>
                <w:szCs w:val="18"/>
                <w:lang w:eastAsia="en-GB"/>
              </w:rPr>
              <w:t xml:space="preserve"> </w:t>
            </w:r>
          </w:p>
        </w:tc>
      </w:tr>
      <w:tr w:rsidR="00B71EAB" w:rsidRPr="003105FC" w14:paraId="5D2F1C19" w14:textId="77777777" w:rsidTr="003105FC">
        <w:trPr>
          <w:trHeight w:val="240"/>
        </w:trPr>
        <w:tc>
          <w:tcPr>
            <w:tcW w:w="2112" w:type="dxa"/>
            <w:tcBorders>
              <w:top w:val="nil"/>
              <w:left w:val="nil"/>
              <w:bottom w:val="nil"/>
              <w:right w:val="nil"/>
            </w:tcBorders>
            <w:shd w:val="clear" w:color="000000" w:fill="FFFFFF"/>
            <w:noWrap/>
            <w:vAlign w:val="bottom"/>
            <w:hideMark/>
          </w:tcPr>
          <w:p w14:paraId="746B5988" w14:textId="77777777" w:rsidR="003105FC" w:rsidRPr="003105FC" w:rsidRDefault="003105FC" w:rsidP="003105FC">
            <w:pPr>
              <w:spacing w:after="0"/>
              <w:rPr>
                <w:rFonts w:ascii="Calibri" w:hAnsi="Calibri" w:cs="Arial"/>
                <w:b/>
                <w:bCs/>
                <w:szCs w:val="18"/>
                <w:lang w:eastAsia="en-GB"/>
              </w:rPr>
            </w:pPr>
            <w:r w:rsidRPr="003105FC">
              <w:rPr>
                <w:rFonts w:ascii="Calibri" w:hAnsi="Calibri" w:cs="Arial"/>
                <w:b/>
                <w:bCs/>
                <w:szCs w:val="18"/>
                <w:lang w:eastAsia="en-GB"/>
              </w:rPr>
              <w:t>At 30 June 2015</w:t>
            </w:r>
          </w:p>
        </w:tc>
        <w:tc>
          <w:tcPr>
            <w:tcW w:w="1111" w:type="dxa"/>
            <w:tcBorders>
              <w:top w:val="single" w:sz="4" w:space="0" w:color="auto"/>
              <w:left w:val="nil"/>
              <w:bottom w:val="single" w:sz="4" w:space="0" w:color="auto"/>
              <w:right w:val="nil"/>
            </w:tcBorders>
            <w:shd w:val="clear" w:color="000000" w:fill="FFFFFF"/>
            <w:vAlign w:val="center"/>
            <w:hideMark/>
          </w:tcPr>
          <w:p w14:paraId="5556B9C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10,843 </w:t>
            </w:r>
          </w:p>
        </w:tc>
        <w:tc>
          <w:tcPr>
            <w:tcW w:w="302" w:type="dxa"/>
            <w:tcBorders>
              <w:top w:val="nil"/>
              <w:left w:val="nil"/>
              <w:bottom w:val="nil"/>
              <w:right w:val="nil"/>
            </w:tcBorders>
            <w:shd w:val="clear" w:color="000000" w:fill="FFFFFF"/>
            <w:vAlign w:val="center"/>
            <w:hideMark/>
          </w:tcPr>
          <w:p w14:paraId="7B210AFC"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single" w:sz="4" w:space="0" w:color="auto"/>
              <w:left w:val="nil"/>
              <w:bottom w:val="single" w:sz="4" w:space="0" w:color="auto"/>
              <w:right w:val="nil"/>
            </w:tcBorders>
            <w:shd w:val="clear" w:color="000000" w:fill="FFFFFF"/>
            <w:vAlign w:val="center"/>
            <w:hideMark/>
          </w:tcPr>
          <w:p w14:paraId="3DAF58A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17,278 </w:t>
            </w:r>
          </w:p>
        </w:tc>
        <w:tc>
          <w:tcPr>
            <w:tcW w:w="258" w:type="dxa"/>
            <w:tcBorders>
              <w:top w:val="nil"/>
              <w:left w:val="nil"/>
              <w:bottom w:val="nil"/>
              <w:right w:val="nil"/>
            </w:tcBorders>
            <w:shd w:val="clear" w:color="000000" w:fill="FFFFFF"/>
            <w:vAlign w:val="center"/>
            <w:hideMark/>
          </w:tcPr>
          <w:p w14:paraId="0AE83F0F"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single" w:sz="4" w:space="0" w:color="auto"/>
              <w:left w:val="nil"/>
              <w:bottom w:val="single" w:sz="4" w:space="0" w:color="auto"/>
              <w:right w:val="nil"/>
            </w:tcBorders>
            <w:shd w:val="clear" w:color="000000" w:fill="FFFFFF"/>
            <w:vAlign w:val="center"/>
            <w:hideMark/>
          </w:tcPr>
          <w:p w14:paraId="0AC7CDC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(73)</w:t>
            </w:r>
          </w:p>
        </w:tc>
        <w:tc>
          <w:tcPr>
            <w:tcW w:w="271" w:type="dxa"/>
            <w:tcBorders>
              <w:top w:val="nil"/>
              <w:left w:val="nil"/>
              <w:bottom w:val="nil"/>
              <w:right w:val="nil"/>
            </w:tcBorders>
            <w:shd w:val="clear" w:color="000000" w:fill="FFFFFF"/>
            <w:noWrap/>
            <w:vAlign w:val="bottom"/>
            <w:hideMark/>
          </w:tcPr>
          <w:p w14:paraId="2E2D64D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single" w:sz="4" w:space="0" w:color="auto"/>
              <w:left w:val="nil"/>
              <w:bottom w:val="single" w:sz="4" w:space="0" w:color="auto"/>
              <w:right w:val="nil"/>
            </w:tcBorders>
            <w:shd w:val="clear" w:color="000000" w:fill="FFFFFF"/>
            <w:vAlign w:val="center"/>
            <w:hideMark/>
          </w:tcPr>
          <w:p w14:paraId="1E8366E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(4,410)</w:t>
            </w:r>
          </w:p>
        </w:tc>
        <w:tc>
          <w:tcPr>
            <w:tcW w:w="258" w:type="dxa"/>
            <w:tcBorders>
              <w:top w:val="nil"/>
              <w:left w:val="nil"/>
              <w:bottom w:val="nil"/>
              <w:right w:val="nil"/>
            </w:tcBorders>
            <w:shd w:val="clear" w:color="000000" w:fill="FFFFFF"/>
            <w:vAlign w:val="center"/>
            <w:hideMark/>
          </w:tcPr>
          <w:p w14:paraId="320E6B2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single" w:sz="4" w:space="0" w:color="auto"/>
              <w:left w:val="nil"/>
              <w:bottom w:val="single" w:sz="4" w:space="0" w:color="auto"/>
              <w:right w:val="nil"/>
            </w:tcBorders>
            <w:shd w:val="clear" w:color="000000" w:fill="FFFFFF"/>
            <w:vAlign w:val="center"/>
            <w:hideMark/>
          </w:tcPr>
          <w:p w14:paraId="6E309CF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(19,189)</w:t>
            </w:r>
          </w:p>
        </w:tc>
        <w:tc>
          <w:tcPr>
            <w:tcW w:w="258" w:type="dxa"/>
            <w:tcBorders>
              <w:top w:val="nil"/>
              <w:left w:val="nil"/>
              <w:bottom w:val="nil"/>
              <w:right w:val="nil"/>
            </w:tcBorders>
            <w:shd w:val="clear" w:color="000000" w:fill="FFFFFF"/>
            <w:vAlign w:val="center"/>
            <w:hideMark/>
          </w:tcPr>
          <w:p w14:paraId="5A02909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single" w:sz="4" w:space="0" w:color="auto"/>
              <w:left w:val="nil"/>
              <w:bottom w:val="single" w:sz="4" w:space="0" w:color="auto"/>
              <w:right w:val="nil"/>
            </w:tcBorders>
            <w:shd w:val="clear" w:color="000000" w:fill="FFFFFF"/>
            <w:vAlign w:val="center"/>
            <w:hideMark/>
          </w:tcPr>
          <w:p w14:paraId="2F72ABA1"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4,450 </w:t>
            </w:r>
          </w:p>
        </w:tc>
      </w:tr>
      <w:tr w:rsidR="00B71EAB" w:rsidRPr="003105FC" w14:paraId="07C17608" w14:textId="77777777" w:rsidTr="003105FC">
        <w:trPr>
          <w:trHeight w:val="240"/>
        </w:trPr>
        <w:tc>
          <w:tcPr>
            <w:tcW w:w="2112" w:type="dxa"/>
            <w:tcBorders>
              <w:top w:val="nil"/>
              <w:left w:val="nil"/>
              <w:bottom w:val="nil"/>
              <w:right w:val="nil"/>
            </w:tcBorders>
            <w:shd w:val="clear" w:color="000000" w:fill="FFFFFF"/>
            <w:noWrap/>
            <w:vAlign w:val="bottom"/>
            <w:hideMark/>
          </w:tcPr>
          <w:p w14:paraId="7355D866"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Loss for the period</w:t>
            </w:r>
          </w:p>
        </w:tc>
        <w:tc>
          <w:tcPr>
            <w:tcW w:w="1111" w:type="dxa"/>
            <w:tcBorders>
              <w:top w:val="nil"/>
              <w:left w:val="nil"/>
              <w:bottom w:val="nil"/>
              <w:right w:val="nil"/>
            </w:tcBorders>
            <w:shd w:val="clear" w:color="000000" w:fill="FFFFFF"/>
            <w:vAlign w:val="center"/>
            <w:hideMark/>
          </w:tcPr>
          <w:p w14:paraId="3F5BC1C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3E25F1E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50BDA8A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16FC971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733D279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0C23DA3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56764EA9"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13B4807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0EB10B4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(1,</w:t>
            </w:r>
            <w:r w:rsidR="002D491F">
              <w:rPr>
                <w:rFonts w:ascii="Calibri" w:hAnsi="Calibri" w:cs="Arial"/>
                <w:szCs w:val="18"/>
                <w:lang w:eastAsia="en-GB"/>
              </w:rPr>
              <w:t>316</w:t>
            </w:r>
            <w:r w:rsidRPr="003105FC">
              <w:rPr>
                <w:rFonts w:ascii="Calibri" w:hAnsi="Calibri" w:cs="Arial"/>
                <w:szCs w:val="18"/>
                <w:lang w:eastAsia="en-GB"/>
              </w:rPr>
              <w:t>)</w:t>
            </w:r>
          </w:p>
        </w:tc>
        <w:tc>
          <w:tcPr>
            <w:tcW w:w="258" w:type="dxa"/>
            <w:tcBorders>
              <w:top w:val="nil"/>
              <w:left w:val="nil"/>
              <w:bottom w:val="nil"/>
              <w:right w:val="nil"/>
            </w:tcBorders>
            <w:shd w:val="clear" w:color="000000" w:fill="FFFFFF"/>
            <w:vAlign w:val="center"/>
            <w:hideMark/>
          </w:tcPr>
          <w:p w14:paraId="3909950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3FA71445"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(1,280)</w:t>
            </w:r>
          </w:p>
        </w:tc>
      </w:tr>
      <w:tr w:rsidR="00B71EAB" w:rsidRPr="003105FC" w14:paraId="7CA7C84D" w14:textId="77777777" w:rsidTr="003105FC">
        <w:trPr>
          <w:trHeight w:val="480"/>
        </w:trPr>
        <w:tc>
          <w:tcPr>
            <w:tcW w:w="2112" w:type="dxa"/>
            <w:tcBorders>
              <w:top w:val="nil"/>
              <w:left w:val="nil"/>
              <w:bottom w:val="nil"/>
              <w:right w:val="nil"/>
            </w:tcBorders>
            <w:shd w:val="clear" w:color="000000" w:fill="FFFFFF"/>
            <w:vAlign w:val="bottom"/>
            <w:hideMark/>
          </w:tcPr>
          <w:p w14:paraId="23D9D804"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Other comprehensive income for the period</w:t>
            </w:r>
          </w:p>
        </w:tc>
        <w:tc>
          <w:tcPr>
            <w:tcW w:w="1111" w:type="dxa"/>
            <w:tcBorders>
              <w:top w:val="nil"/>
              <w:left w:val="nil"/>
              <w:bottom w:val="nil"/>
              <w:right w:val="nil"/>
            </w:tcBorders>
            <w:shd w:val="clear" w:color="000000" w:fill="FFFFFF"/>
            <w:vAlign w:val="center"/>
            <w:hideMark/>
          </w:tcPr>
          <w:p w14:paraId="7740D36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0CFA772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7FBAB6B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39005B4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5DB99F4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351F8E3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16A02C7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(138)</w:t>
            </w:r>
          </w:p>
        </w:tc>
        <w:tc>
          <w:tcPr>
            <w:tcW w:w="258" w:type="dxa"/>
            <w:tcBorders>
              <w:top w:val="nil"/>
              <w:left w:val="nil"/>
              <w:bottom w:val="nil"/>
              <w:right w:val="nil"/>
            </w:tcBorders>
            <w:shd w:val="clear" w:color="000000" w:fill="FFFFFF"/>
            <w:vAlign w:val="center"/>
            <w:hideMark/>
          </w:tcPr>
          <w:p w14:paraId="19D6086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430D1BFA" w14:textId="77777777" w:rsidR="003105FC" w:rsidRPr="003105FC" w:rsidRDefault="002D491F" w:rsidP="003105FC">
            <w:pPr>
              <w:spacing w:after="0"/>
              <w:jc w:val="right"/>
              <w:rPr>
                <w:rFonts w:ascii="Calibri" w:hAnsi="Calibri" w:cs="Arial"/>
                <w:szCs w:val="18"/>
                <w:lang w:eastAsia="en-GB"/>
              </w:rPr>
            </w:pPr>
            <w:r>
              <w:rPr>
                <w:rFonts w:ascii="Calibri" w:hAnsi="Calibri" w:cs="Arial"/>
                <w:szCs w:val="18"/>
                <w:lang w:eastAsia="en-GB"/>
              </w:rPr>
              <w:t>313</w:t>
            </w:r>
            <w:r w:rsidR="003105FC"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68F7276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6CAE7ABE" w14:textId="77777777" w:rsidR="003105FC" w:rsidRPr="003105FC" w:rsidRDefault="002D491F" w:rsidP="003105FC">
            <w:pPr>
              <w:spacing w:after="0"/>
              <w:jc w:val="right"/>
              <w:rPr>
                <w:rFonts w:ascii="Calibri" w:hAnsi="Calibri" w:cs="Arial"/>
                <w:b/>
                <w:bCs/>
                <w:szCs w:val="18"/>
                <w:lang w:eastAsia="en-GB"/>
              </w:rPr>
            </w:pPr>
            <w:r>
              <w:rPr>
                <w:rFonts w:ascii="Calibri" w:hAnsi="Calibri" w:cs="Arial"/>
                <w:b/>
                <w:bCs/>
                <w:szCs w:val="18"/>
                <w:lang w:eastAsia="en-GB"/>
              </w:rPr>
              <w:t>175</w:t>
            </w:r>
            <w:r w:rsidR="003105FC" w:rsidRPr="003105FC">
              <w:rPr>
                <w:rFonts w:ascii="Calibri" w:hAnsi="Calibri" w:cs="Arial"/>
                <w:b/>
                <w:bCs/>
                <w:szCs w:val="18"/>
                <w:lang w:eastAsia="en-GB"/>
              </w:rPr>
              <w:t xml:space="preserve"> </w:t>
            </w:r>
          </w:p>
        </w:tc>
      </w:tr>
      <w:tr w:rsidR="00B71EAB" w:rsidRPr="003105FC" w14:paraId="084C5E57" w14:textId="77777777" w:rsidTr="003105FC">
        <w:trPr>
          <w:trHeight w:val="240"/>
        </w:trPr>
        <w:tc>
          <w:tcPr>
            <w:tcW w:w="2112" w:type="dxa"/>
            <w:tcBorders>
              <w:top w:val="nil"/>
              <w:left w:val="nil"/>
              <w:bottom w:val="nil"/>
              <w:right w:val="nil"/>
            </w:tcBorders>
            <w:shd w:val="clear" w:color="000000" w:fill="FFFFFF"/>
            <w:vAlign w:val="center"/>
            <w:hideMark/>
          </w:tcPr>
          <w:p w14:paraId="4BBC26C9"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Share based payment</w:t>
            </w:r>
          </w:p>
        </w:tc>
        <w:tc>
          <w:tcPr>
            <w:tcW w:w="1111" w:type="dxa"/>
            <w:tcBorders>
              <w:top w:val="nil"/>
              <w:left w:val="nil"/>
              <w:bottom w:val="nil"/>
              <w:right w:val="nil"/>
            </w:tcBorders>
            <w:shd w:val="clear" w:color="000000" w:fill="FFFFFF"/>
            <w:vAlign w:val="center"/>
            <w:hideMark/>
          </w:tcPr>
          <w:p w14:paraId="0C28CDC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146A2BB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481B298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5515D08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40EE924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31 </w:t>
            </w:r>
          </w:p>
        </w:tc>
        <w:tc>
          <w:tcPr>
            <w:tcW w:w="271" w:type="dxa"/>
            <w:tcBorders>
              <w:top w:val="nil"/>
              <w:left w:val="nil"/>
              <w:bottom w:val="nil"/>
              <w:right w:val="nil"/>
            </w:tcBorders>
            <w:shd w:val="clear" w:color="000000" w:fill="FFFFFF"/>
            <w:noWrap/>
            <w:vAlign w:val="bottom"/>
            <w:hideMark/>
          </w:tcPr>
          <w:p w14:paraId="1B6DAA1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592241F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1248866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03580A30" w14:textId="77777777" w:rsidR="003105FC" w:rsidRPr="003105FC" w:rsidRDefault="002D491F" w:rsidP="003105FC">
            <w:pPr>
              <w:spacing w:after="0"/>
              <w:jc w:val="right"/>
              <w:rPr>
                <w:rFonts w:ascii="Calibri" w:hAnsi="Calibri" w:cs="Arial"/>
                <w:szCs w:val="18"/>
                <w:lang w:eastAsia="en-GB"/>
              </w:rPr>
            </w:pPr>
            <w:r>
              <w:rPr>
                <w:rFonts w:ascii="Calibri" w:hAnsi="Calibri" w:cs="Arial"/>
                <w:szCs w:val="18"/>
                <w:lang w:eastAsia="en-GB"/>
              </w:rPr>
              <w:t>24</w:t>
            </w:r>
            <w:r w:rsidR="003105FC"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638B89D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7B33ABA2" w14:textId="77777777" w:rsidR="003105FC" w:rsidRPr="003105FC" w:rsidRDefault="002D491F" w:rsidP="003105FC">
            <w:pPr>
              <w:spacing w:after="0"/>
              <w:jc w:val="right"/>
              <w:rPr>
                <w:rFonts w:ascii="Calibri" w:hAnsi="Calibri" w:cs="Arial"/>
                <w:b/>
                <w:bCs/>
                <w:szCs w:val="18"/>
                <w:lang w:eastAsia="en-GB"/>
              </w:rPr>
            </w:pPr>
            <w:r>
              <w:rPr>
                <w:rFonts w:ascii="Calibri" w:hAnsi="Calibri" w:cs="Arial"/>
                <w:b/>
                <w:bCs/>
                <w:szCs w:val="18"/>
                <w:lang w:eastAsia="en-GB"/>
              </w:rPr>
              <w:t>55</w:t>
            </w:r>
            <w:r w:rsidR="003105FC" w:rsidRPr="003105FC">
              <w:rPr>
                <w:rFonts w:ascii="Calibri" w:hAnsi="Calibri" w:cs="Arial"/>
                <w:b/>
                <w:bCs/>
                <w:szCs w:val="18"/>
                <w:lang w:eastAsia="en-GB"/>
              </w:rPr>
              <w:t xml:space="preserve"> </w:t>
            </w:r>
          </w:p>
        </w:tc>
      </w:tr>
      <w:tr w:rsidR="00B71EAB" w:rsidRPr="003105FC" w14:paraId="0A6810FC" w14:textId="77777777" w:rsidTr="003105FC">
        <w:trPr>
          <w:trHeight w:val="240"/>
        </w:trPr>
        <w:tc>
          <w:tcPr>
            <w:tcW w:w="2112" w:type="dxa"/>
            <w:tcBorders>
              <w:top w:val="nil"/>
              <w:left w:val="nil"/>
              <w:bottom w:val="nil"/>
              <w:right w:val="nil"/>
            </w:tcBorders>
            <w:shd w:val="clear" w:color="000000" w:fill="FFFFFF"/>
            <w:noWrap/>
            <w:vAlign w:val="bottom"/>
            <w:hideMark/>
          </w:tcPr>
          <w:p w14:paraId="74CBE613" w14:textId="77777777" w:rsidR="003105FC" w:rsidRPr="003105FC" w:rsidRDefault="003105FC" w:rsidP="003105FC">
            <w:pPr>
              <w:spacing w:after="0"/>
              <w:rPr>
                <w:rFonts w:ascii="Calibri" w:hAnsi="Calibri" w:cs="Arial"/>
                <w:b/>
                <w:bCs/>
                <w:szCs w:val="18"/>
                <w:lang w:eastAsia="en-GB"/>
              </w:rPr>
            </w:pPr>
            <w:r w:rsidRPr="003105FC">
              <w:rPr>
                <w:rFonts w:ascii="Calibri" w:hAnsi="Calibri" w:cs="Arial"/>
                <w:b/>
                <w:bCs/>
                <w:szCs w:val="18"/>
                <w:lang w:eastAsia="en-GB"/>
              </w:rPr>
              <w:t>At 1 January 2016</w:t>
            </w:r>
          </w:p>
        </w:tc>
        <w:tc>
          <w:tcPr>
            <w:tcW w:w="1111" w:type="dxa"/>
            <w:tcBorders>
              <w:top w:val="single" w:sz="4" w:space="0" w:color="auto"/>
              <w:left w:val="nil"/>
              <w:bottom w:val="single" w:sz="4" w:space="0" w:color="auto"/>
              <w:right w:val="nil"/>
            </w:tcBorders>
            <w:shd w:val="clear" w:color="000000" w:fill="FFFFFF"/>
            <w:vAlign w:val="center"/>
            <w:hideMark/>
          </w:tcPr>
          <w:p w14:paraId="4D46692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10,843 </w:t>
            </w:r>
          </w:p>
        </w:tc>
        <w:tc>
          <w:tcPr>
            <w:tcW w:w="302" w:type="dxa"/>
            <w:tcBorders>
              <w:top w:val="nil"/>
              <w:left w:val="nil"/>
              <w:bottom w:val="nil"/>
              <w:right w:val="nil"/>
            </w:tcBorders>
            <w:shd w:val="clear" w:color="000000" w:fill="FFFFFF"/>
            <w:vAlign w:val="center"/>
            <w:hideMark/>
          </w:tcPr>
          <w:p w14:paraId="213BE52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single" w:sz="4" w:space="0" w:color="auto"/>
              <w:left w:val="nil"/>
              <w:bottom w:val="single" w:sz="4" w:space="0" w:color="auto"/>
              <w:right w:val="nil"/>
            </w:tcBorders>
            <w:shd w:val="clear" w:color="000000" w:fill="FFFFFF"/>
            <w:vAlign w:val="center"/>
            <w:hideMark/>
          </w:tcPr>
          <w:p w14:paraId="11D25AD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17,278 </w:t>
            </w:r>
          </w:p>
        </w:tc>
        <w:tc>
          <w:tcPr>
            <w:tcW w:w="258" w:type="dxa"/>
            <w:tcBorders>
              <w:top w:val="nil"/>
              <w:left w:val="nil"/>
              <w:bottom w:val="nil"/>
              <w:right w:val="nil"/>
            </w:tcBorders>
            <w:shd w:val="clear" w:color="000000" w:fill="FFFFFF"/>
            <w:vAlign w:val="center"/>
            <w:hideMark/>
          </w:tcPr>
          <w:p w14:paraId="4DF4A06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single" w:sz="4" w:space="0" w:color="auto"/>
              <w:left w:val="nil"/>
              <w:bottom w:val="single" w:sz="4" w:space="0" w:color="auto"/>
              <w:right w:val="nil"/>
            </w:tcBorders>
            <w:shd w:val="clear" w:color="000000" w:fill="FFFFFF"/>
            <w:vAlign w:val="center"/>
            <w:hideMark/>
          </w:tcPr>
          <w:p w14:paraId="3CB9B01C"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(42)</w:t>
            </w:r>
          </w:p>
        </w:tc>
        <w:tc>
          <w:tcPr>
            <w:tcW w:w="271" w:type="dxa"/>
            <w:tcBorders>
              <w:top w:val="nil"/>
              <w:left w:val="nil"/>
              <w:bottom w:val="nil"/>
              <w:right w:val="nil"/>
            </w:tcBorders>
            <w:shd w:val="clear" w:color="000000" w:fill="FFFFFF"/>
            <w:noWrap/>
            <w:vAlign w:val="bottom"/>
            <w:hideMark/>
          </w:tcPr>
          <w:p w14:paraId="3AA5FA3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single" w:sz="4" w:space="0" w:color="auto"/>
              <w:left w:val="nil"/>
              <w:bottom w:val="single" w:sz="4" w:space="0" w:color="auto"/>
              <w:right w:val="nil"/>
            </w:tcBorders>
            <w:shd w:val="clear" w:color="000000" w:fill="FFFFFF"/>
            <w:vAlign w:val="center"/>
            <w:hideMark/>
          </w:tcPr>
          <w:p w14:paraId="0C7CD3D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(4,548)</w:t>
            </w:r>
          </w:p>
        </w:tc>
        <w:tc>
          <w:tcPr>
            <w:tcW w:w="258" w:type="dxa"/>
            <w:tcBorders>
              <w:top w:val="nil"/>
              <w:left w:val="nil"/>
              <w:bottom w:val="nil"/>
              <w:right w:val="nil"/>
            </w:tcBorders>
            <w:shd w:val="clear" w:color="000000" w:fill="FFFFFF"/>
            <w:vAlign w:val="center"/>
            <w:hideMark/>
          </w:tcPr>
          <w:p w14:paraId="2BD8B4D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single" w:sz="4" w:space="0" w:color="auto"/>
              <w:left w:val="nil"/>
              <w:bottom w:val="single" w:sz="4" w:space="0" w:color="auto"/>
              <w:right w:val="nil"/>
            </w:tcBorders>
            <w:shd w:val="clear" w:color="000000" w:fill="FFFFFF"/>
            <w:vAlign w:val="center"/>
            <w:hideMark/>
          </w:tcPr>
          <w:p w14:paraId="339EFAC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(20,167)</w:t>
            </w:r>
          </w:p>
        </w:tc>
        <w:tc>
          <w:tcPr>
            <w:tcW w:w="258" w:type="dxa"/>
            <w:tcBorders>
              <w:top w:val="nil"/>
              <w:left w:val="nil"/>
              <w:bottom w:val="nil"/>
              <w:right w:val="nil"/>
            </w:tcBorders>
            <w:shd w:val="clear" w:color="000000" w:fill="FFFFFF"/>
            <w:vAlign w:val="center"/>
            <w:hideMark/>
          </w:tcPr>
          <w:p w14:paraId="7508114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single" w:sz="4" w:space="0" w:color="auto"/>
              <w:left w:val="nil"/>
              <w:bottom w:val="single" w:sz="4" w:space="0" w:color="auto"/>
              <w:right w:val="nil"/>
            </w:tcBorders>
            <w:shd w:val="clear" w:color="000000" w:fill="FFFFFF"/>
            <w:vAlign w:val="center"/>
            <w:hideMark/>
          </w:tcPr>
          <w:p w14:paraId="518C3207"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3,365 </w:t>
            </w:r>
          </w:p>
        </w:tc>
      </w:tr>
      <w:tr w:rsidR="00B71EAB" w:rsidRPr="003105FC" w14:paraId="692BBA2E" w14:textId="77777777" w:rsidTr="003105FC">
        <w:trPr>
          <w:trHeight w:val="240"/>
        </w:trPr>
        <w:tc>
          <w:tcPr>
            <w:tcW w:w="2112" w:type="dxa"/>
            <w:tcBorders>
              <w:top w:val="nil"/>
              <w:left w:val="nil"/>
              <w:bottom w:val="nil"/>
              <w:right w:val="nil"/>
            </w:tcBorders>
            <w:shd w:val="clear" w:color="000000" w:fill="FFFFFF"/>
            <w:noWrap/>
            <w:vAlign w:val="bottom"/>
            <w:hideMark/>
          </w:tcPr>
          <w:p w14:paraId="5560503D"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Loss for the period</w:t>
            </w:r>
          </w:p>
        </w:tc>
        <w:tc>
          <w:tcPr>
            <w:tcW w:w="1111" w:type="dxa"/>
            <w:tcBorders>
              <w:top w:val="nil"/>
              <w:left w:val="nil"/>
              <w:bottom w:val="nil"/>
              <w:right w:val="nil"/>
            </w:tcBorders>
            <w:shd w:val="clear" w:color="000000" w:fill="FFFFFF"/>
            <w:vAlign w:val="center"/>
            <w:hideMark/>
          </w:tcPr>
          <w:p w14:paraId="6AF312F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0A2A9F2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2027D7A9"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33892EFC"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30DC430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0D052AD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1A48F071"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7B3CE85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6AA9D11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(3,</w:t>
            </w:r>
            <w:r w:rsidR="002D491F">
              <w:rPr>
                <w:rFonts w:ascii="Calibri" w:hAnsi="Calibri" w:cs="Arial"/>
                <w:szCs w:val="18"/>
                <w:lang w:eastAsia="en-GB"/>
              </w:rPr>
              <w:t>416</w:t>
            </w:r>
            <w:r w:rsidRPr="003105FC">
              <w:rPr>
                <w:rFonts w:ascii="Calibri" w:hAnsi="Calibri" w:cs="Arial"/>
                <w:szCs w:val="18"/>
                <w:lang w:eastAsia="en-GB"/>
              </w:rPr>
              <w:t>)</w:t>
            </w:r>
          </w:p>
        </w:tc>
        <w:tc>
          <w:tcPr>
            <w:tcW w:w="258" w:type="dxa"/>
            <w:tcBorders>
              <w:top w:val="nil"/>
              <w:left w:val="nil"/>
              <w:bottom w:val="nil"/>
              <w:right w:val="nil"/>
            </w:tcBorders>
            <w:shd w:val="clear" w:color="000000" w:fill="FFFFFF"/>
            <w:vAlign w:val="center"/>
            <w:hideMark/>
          </w:tcPr>
          <w:p w14:paraId="0FC6E22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5BDDDB1C"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(3,</w:t>
            </w:r>
            <w:r w:rsidR="002D491F">
              <w:rPr>
                <w:rFonts w:ascii="Calibri" w:hAnsi="Calibri" w:cs="Arial"/>
                <w:b/>
                <w:bCs/>
                <w:szCs w:val="18"/>
                <w:lang w:eastAsia="en-GB"/>
              </w:rPr>
              <w:t>416</w:t>
            </w:r>
            <w:r w:rsidRPr="003105FC">
              <w:rPr>
                <w:rFonts w:ascii="Calibri" w:hAnsi="Calibri" w:cs="Arial"/>
                <w:b/>
                <w:bCs/>
                <w:szCs w:val="18"/>
                <w:lang w:eastAsia="en-GB"/>
              </w:rPr>
              <w:t>)</w:t>
            </w:r>
          </w:p>
        </w:tc>
      </w:tr>
      <w:tr w:rsidR="00B71EAB" w:rsidRPr="003105FC" w14:paraId="19DFA5CE" w14:textId="77777777" w:rsidTr="003105FC">
        <w:trPr>
          <w:trHeight w:val="480"/>
        </w:trPr>
        <w:tc>
          <w:tcPr>
            <w:tcW w:w="2112" w:type="dxa"/>
            <w:tcBorders>
              <w:top w:val="nil"/>
              <w:left w:val="nil"/>
              <w:bottom w:val="nil"/>
              <w:right w:val="nil"/>
            </w:tcBorders>
            <w:shd w:val="clear" w:color="000000" w:fill="FFFFFF"/>
            <w:vAlign w:val="bottom"/>
            <w:hideMark/>
          </w:tcPr>
          <w:p w14:paraId="4D925DF6"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Other comprehensive income for the period</w:t>
            </w:r>
          </w:p>
        </w:tc>
        <w:tc>
          <w:tcPr>
            <w:tcW w:w="1111" w:type="dxa"/>
            <w:tcBorders>
              <w:top w:val="nil"/>
              <w:left w:val="nil"/>
              <w:bottom w:val="nil"/>
              <w:right w:val="nil"/>
            </w:tcBorders>
            <w:shd w:val="clear" w:color="000000" w:fill="FFFFFF"/>
            <w:vAlign w:val="center"/>
            <w:hideMark/>
          </w:tcPr>
          <w:p w14:paraId="032B8BC0"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302" w:type="dxa"/>
            <w:tcBorders>
              <w:top w:val="nil"/>
              <w:left w:val="nil"/>
              <w:bottom w:val="nil"/>
              <w:right w:val="nil"/>
            </w:tcBorders>
            <w:shd w:val="clear" w:color="000000" w:fill="FFFFFF"/>
            <w:vAlign w:val="center"/>
            <w:hideMark/>
          </w:tcPr>
          <w:p w14:paraId="389CEF0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778A0AA6"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05C77AD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50C1542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23C6ADF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180CCD5A"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18 </w:t>
            </w:r>
          </w:p>
        </w:tc>
        <w:tc>
          <w:tcPr>
            <w:tcW w:w="258" w:type="dxa"/>
            <w:tcBorders>
              <w:top w:val="nil"/>
              <w:left w:val="nil"/>
              <w:bottom w:val="nil"/>
              <w:right w:val="nil"/>
            </w:tcBorders>
            <w:shd w:val="clear" w:color="000000" w:fill="FFFFFF"/>
            <w:vAlign w:val="center"/>
            <w:hideMark/>
          </w:tcPr>
          <w:p w14:paraId="3E2EA96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1F256E45" w14:textId="77777777" w:rsidR="003105FC" w:rsidRPr="003105FC" w:rsidRDefault="002D491F" w:rsidP="002D491F">
            <w:pPr>
              <w:spacing w:after="0"/>
              <w:jc w:val="right"/>
              <w:rPr>
                <w:rFonts w:ascii="Calibri" w:hAnsi="Calibri" w:cs="Arial"/>
                <w:szCs w:val="18"/>
                <w:lang w:eastAsia="en-GB"/>
              </w:rPr>
            </w:pPr>
            <w:r>
              <w:rPr>
                <w:rFonts w:ascii="Calibri" w:hAnsi="Calibri" w:cs="Arial"/>
                <w:szCs w:val="18"/>
                <w:lang w:eastAsia="en-GB"/>
              </w:rPr>
              <w:t>108</w:t>
            </w:r>
          </w:p>
        </w:tc>
        <w:tc>
          <w:tcPr>
            <w:tcW w:w="258" w:type="dxa"/>
            <w:tcBorders>
              <w:top w:val="nil"/>
              <w:left w:val="nil"/>
              <w:bottom w:val="nil"/>
              <w:right w:val="nil"/>
            </w:tcBorders>
            <w:shd w:val="clear" w:color="000000" w:fill="FFFFFF"/>
            <w:vAlign w:val="center"/>
            <w:hideMark/>
          </w:tcPr>
          <w:p w14:paraId="7A041A1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0A69DA12" w14:textId="77777777" w:rsidR="003105FC" w:rsidRPr="003105FC" w:rsidRDefault="002D491F" w:rsidP="002D491F">
            <w:pPr>
              <w:spacing w:after="0"/>
              <w:jc w:val="right"/>
              <w:rPr>
                <w:rFonts w:ascii="Calibri" w:hAnsi="Calibri" w:cs="Arial"/>
                <w:b/>
                <w:bCs/>
                <w:szCs w:val="18"/>
                <w:lang w:eastAsia="en-GB"/>
              </w:rPr>
            </w:pPr>
            <w:r>
              <w:rPr>
                <w:rFonts w:ascii="Calibri" w:hAnsi="Calibri" w:cs="Arial"/>
                <w:b/>
                <w:bCs/>
                <w:szCs w:val="18"/>
                <w:lang w:eastAsia="en-GB"/>
              </w:rPr>
              <w:t>125</w:t>
            </w:r>
          </w:p>
        </w:tc>
      </w:tr>
      <w:tr w:rsidR="00B71EAB" w:rsidRPr="003105FC" w14:paraId="7A0549AC" w14:textId="77777777" w:rsidTr="003105FC">
        <w:trPr>
          <w:trHeight w:val="240"/>
        </w:trPr>
        <w:tc>
          <w:tcPr>
            <w:tcW w:w="2112" w:type="dxa"/>
            <w:tcBorders>
              <w:top w:val="nil"/>
              <w:left w:val="nil"/>
              <w:bottom w:val="nil"/>
              <w:right w:val="nil"/>
            </w:tcBorders>
            <w:shd w:val="clear" w:color="000000" w:fill="FFFFFF"/>
            <w:vAlign w:val="bottom"/>
            <w:hideMark/>
          </w:tcPr>
          <w:p w14:paraId="33E88B54"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Acquisition of subsidiary</w:t>
            </w:r>
          </w:p>
        </w:tc>
        <w:tc>
          <w:tcPr>
            <w:tcW w:w="1111" w:type="dxa"/>
            <w:tcBorders>
              <w:top w:val="nil"/>
              <w:left w:val="nil"/>
              <w:bottom w:val="nil"/>
              <w:right w:val="nil"/>
            </w:tcBorders>
            <w:shd w:val="clear" w:color="000000" w:fill="FFFFFF"/>
            <w:vAlign w:val="center"/>
            <w:hideMark/>
          </w:tcPr>
          <w:p w14:paraId="7B35F7E5"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732 </w:t>
            </w:r>
          </w:p>
        </w:tc>
        <w:tc>
          <w:tcPr>
            <w:tcW w:w="302" w:type="dxa"/>
            <w:tcBorders>
              <w:top w:val="nil"/>
              <w:left w:val="nil"/>
              <w:bottom w:val="nil"/>
              <w:right w:val="nil"/>
            </w:tcBorders>
            <w:shd w:val="clear" w:color="000000" w:fill="FFFFFF"/>
            <w:vAlign w:val="center"/>
            <w:hideMark/>
          </w:tcPr>
          <w:p w14:paraId="6073F8FC"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5C23D1D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6536B77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7F2A3D0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71" w:type="dxa"/>
            <w:tcBorders>
              <w:top w:val="nil"/>
              <w:left w:val="nil"/>
              <w:bottom w:val="nil"/>
              <w:right w:val="nil"/>
            </w:tcBorders>
            <w:shd w:val="clear" w:color="000000" w:fill="FFFFFF"/>
            <w:noWrap/>
            <w:vAlign w:val="bottom"/>
            <w:hideMark/>
          </w:tcPr>
          <w:p w14:paraId="12752B9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3415E9B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47B4E61B"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01EC699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659C4A4E"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37DB7ADD"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732 </w:t>
            </w:r>
          </w:p>
        </w:tc>
      </w:tr>
      <w:tr w:rsidR="00B71EAB" w:rsidRPr="003105FC" w14:paraId="56B0853A" w14:textId="77777777" w:rsidTr="003105FC">
        <w:trPr>
          <w:trHeight w:val="240"/>
        </w:trPr>
        <w:tc>
          <w:tcPr>
            <w:tcW w:w="2112" w:type="dxa"/>
            <w:tcBorders>
              <w:top w:val="nil"/>
              <w:left w:val="nil"/>
              <w:bottom w:val="nil"/>
              <w:right w:val="nil"/>
            </w:tcBorders>
            <w:shd w:val="clear" w:color="000000" w:fill="FFFFFF"/>
            <w:vAlign w:val="bottom"/>
            <w:hideMark/>
          </w:tcPr>
          <w:p w14:paraId="37E84013" w14:textId="77777777" w:rsidR="003105FC" w:rsidRPr="003105FC" w:rsidRDefault="003105FC" w:rsidP="003105FC">
            <w:pPr>
              <w:spacing w:after="0"/>
              <w:rPr>
                <w:rFonts w:ascii="Calibri" w:hAnsi="Calibri" w:cs="Arial"/>
                <w:szCs w:val="18"/>
                <w:lang w:eastAsia="en-GB"/>
              </w:rPr>
            </w:pPr>
            <w:r w:rsidRPr="003105FC">
              <w:rPr>
                <w:rFonts w:ascii="Calibri" w:hAnsi="Calibri" w:cs="Arial"/>
                <w:szCs w:val="18"/>
                <w:lang w:eastAsia="en-GB"/>
              </w:rPr>
              <w:t>Share based payment</w:t>
            </w:r>
          </w:p>
        </w:tc>
        <w:tc>
          <w:tcPr>
            <w:tcW w:w="1111" w:type="dxa"/>
            <w:tcBorders>
              <w:top w:val="nil"/>
              <w:left w:val="nil"/>
              <w:bottom w:val="nil"/>
              <w:right w:val="nil"/>
            </w:tcBorders>
            <w:shd w:val="clear" w:color="000000" w:fill="FFFFFF"/>
            <w:vAlign w:val="center"/>
            <w:hideMark/>
          </w:tcPr>
          <w:p w14:paraId="63EEE4A7"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302" w:type="dxa"/>
            <w:tcBorders>
              <w:top w:val="nil"/>
              <w:left w:val="nil"/>
              <w:bottom w:val="nil"/>
              <w:right w:val="nil"/>
            </w:tcBorders>
            <w:shd w:val="clear" w:color="000000" w:fill="FFFFFF"/>
            <w:vAlign w:val="center"/>
            <w:hideMark/>
          </w:tcPr>
          <w:p w14:paraId="5EC6CD0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37" w:type="dxa"/>
            <w:tcBorders>
              <w:top w:val="nil"/>
              <w:left w:val="nil"/>
              <w:bottom w:val="nil"/>
              <w:right w:val="nil"/>
            </w:tcBorders>
            <w:shd w:val="clear" w:color="000000" w:fill="FFFFFF"/>
            <w:vAlign w:val="center"/>
            <w:hideMark/>
          </w:tcPr>
          <w:p w14:paraId="0BB3A69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258" w:type="dxa"/>
            <w:tcBorders>
              <w:top w:val="nil"/>
              <w:left w:val="nil"/>
              <w:bottom w:val="nil"/>
              <w:right w:val="nil"/>
            </w:tcBorders>
            <w:shd w:val="clear" w:color="000000" w:fill="FFFFFF"/>
            <w:vAlign w:val="center"/>
            <w:hideMark/>
          </w:tcPr>
          <w:p w14:paraId="060B833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877" w:type="dxa"/>
            <w:tcBorders>
              <w:top w:val="nil"/>
              <w:left w:val="nil"/>
              <w:bottom w:val="nil"/>
              <w:right w:val="nil"/>
            </w:tcBorders>
            <w:shd w:val="clear" w:color="000000" w:fill="FFFFFF"/>
            <w:vAlign w:val="center"/>
            <w:hideMark/>
          </w:tcPr>
          <w:p w14:paraId="02B4C47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37 </w:t>
            </w:r>
          </w:p>
        </w:tc>
        <w:tc>
          <w:tcPr>
            <w:tcW w:w="271" w:type="dxa"/>
            <w:tcBorders>
              <w:top w:val="nil"/>
              <w:left w:val="nil"/>
              <w:bottom w:val="nil"/>
              <w:right w:val="nil"/>
            </w:tcBorders>
            <w:shd w:val="clear" w:color="000000" w:fill="FFFFFF"/>
            <w:noWrap/>
            <w:vAlign w:val="bottom"/>
            <w:hideMark/>
          </w:tcPr>
          <w:p w14:paraId="6BE1147D"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nil"/>
              <w:left w:val="nil"/>
              <w:bottom w:val="nil"/>
              <w:right w:val="nil"/>
            </w:tcBorders>
            <w:shd w:val="clear" w:color="000000" w:fill="FFFFFF"/>
            <w:vAlign w:val="center"/>
            <w:hideMark/>
          </w:tcPr>
          <w:p w14:paraId="34DBFFC4"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xml:space="preserve">-  </w:t>
            </w:r>
          </w:p>
        </w:tc>
        <w:tc>
          <w:tcPr>
            <w:tcW w:w="258" w:type="dxa"/>
            <w:tcBorders>
              <w:top w:val="nil"/>
              <w:left w:val="nil"/>
              <w:bottom w:val="nil"/>
              <w:right w:val="nil"/>
            </w:tcBorders>
            <w:shd w:val="clear" w:color="000000" w:fill="FFFFFF"/>
            <w:vAlign w:val="center"/>
            <w:hideMark/>
          </w:tcPr>
          <w:p w14:paraId="76EFD273"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nil"/>
              <w:left w:val="nil"/>
              <w:bottom w:val="nil"/>
              <w:right w:val="nil"/>
            </w:tcBorders>
            <w:shd w:val="clear" w:color="000000" w:fill="FFFFFF"/>
            <w:vAlign w:val="center"/>
            <w:hideMark/>
          </w:tcPr>
          <w:p w14:paraId="69697438"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(53)</w:t>
            </w:r>
          </w:p>
        </w:tc>
        <w:tc>
          <w:tcPr>
            <w:tcW w:w="258" w:type="dxa"/>
            <w:tcBorders>
              <w:top w:val="nil"/>
              <w:left w:val="nil"/>
              <w:bottom w:val="nil"/>
              <w:right w:val="nil"/>
            </w:tcBorders>
            <w:shd w:val="clear" w:color="000000" w:fill="FFFFFF"/>
            <w:vAlign w:val="center"/>
            <w:hideMark/>
          </w:tcPr>
          <w:p w14:paraId="0D9C7EA9"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43" w:type="dxa"/>
            <w:tcBorders>
              <w:top w:val="nil"/>
              <w:left w:val="nil"/>
              <w:bottom w:val="nil"/>
              <w:right w:val="nil"/>
            </w:tcBorders>
            <w:shd w:val="clear" w:color="000000" w:fill="FFFFFF"/>
            <w:vAlign w:val="center"/>
            <w:hideMark/>
          </w:tcPr>
          <w:p w14:paraId="47B3C59A"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(16)</w:t>
            </w:r>
          </w:p>
        </w:tc>
      </w:tr>
      <w:tr w:rsidR="00B71EAB" w:rsidRPr="003105FC" w14:paraId="6B16545E" w14:textId="77777777" w:rsidTr="003105FC">
        <w:trPr>
          <w:trHeight w:val="255"/>
        </w:trPr>
        <w:tc>
          <w:tcPr>
            <w:tcW w:w="2112" w:type="dxa"/>
            <w:tcBorders>
              <w:top w:val="nil"/>
              <w:left w:val="nil"/>
              <w:bottom w:val="nil"/>
              <w:right w:val="nil"/>
            </w:tcBorders>
            <w:shd w:val="clear" w:color="000000" w:fill="FFFFFF"/>
            <w:noWrap/>
            <w:vAlign w:val="bottom"/>
            <w:hideMark/>
          </w:tcPr>
          <w:p w14:paraId="4CF3EB92" w14:textId="77777777" w:rsidR="003105FC" w:rsidRPr="003105FC" w:rsidRDefault="003105FC" w:rsidP="003105FC">
            <w:pPr>
              <w:spacing w:after="0"/>
              <w:rPr>
                <w:rFonts w:ascii="Calibri" w:hAnsi="Calibri" w:cs="Arial"/>
                <w:b/>
                <w:bCs/>
                <w:szCs w:val="18"/>
                <w:lang w:eastAsia="en-GB"/>
              </w:rPr>
            </w:pPr>
            <w:r w:rsidRPr="003105FC">
              <w:rPr>
                <w:rFonts w:ascii="Calibri" w:hAnsi="Calibri" w:cs="Arial"/>
                <w:b/>
                <w:bCs/>
                <w:szCs w:val="18"/>
                <w:lang w:eastAsia="en-GB"/>
              </w:rPr>
              <w:t>At 30 June 2016</w:t>
            </w:r>
          </w:p>
        </w:tc>
        <w:tc>
          <w:tcPr>
            <w:tcW w:w="1111" w:type="dxa"/>
            <w:tcBorders>
              <w:top w:val="single" w:sz="4" w:space="0" w:color="auto"/>
              <w:left w:val="nil"/>
              <w:bottom w:val="double" w:sz="6" w:space="0" w:color="auto"/>
              <w:right w:val="nil"/>
            </w:tcBorders>
            <w:shd w:val="clear" w:color="000000" w:fill="FFFFFF"/>
            <w:vAlign w:val="center"/>
            <w:hideMark/>
          </w:tcPr>
          <w:p w14:paraId="44A1104A"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11,575 </w:t>
            </w:r>
          </w:p>
        </w:tc>
        <w:tc>
          <w:tcPr>
            <w:tcW w:w="302" w:type="dxa"/>
            <w:tcBorders>
              <w:top w:val="nil"/>
              <w:left w:val="nil"/>
              <w:bottom w:val="nil"/>
              <w:right w:val="nil"/>
            </w:tcBorders>
            <w:shd w:val="clear" w:color="000000" w:fill="FFFFFF"/>
            <w:vAlign w:val="center"/>
            <w:hideMark/>
          </w:tcPr>
          <w:p w14:paraId="71FAAEF6"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w:t>
            </w:r>
          </w:p>
        </w:tc>
        <w:tc>
          <w:tcPr>
            <w:tcW w:w="1137" w:type="dxa"/>
            <w:tcBorders>
              <w:top w:val="single" w:sz="4" w:space="0" w:color="auto"/>
              <w:left w:val="nil"/>
              <w:bottom w:val="double" w:sz="6" w:space="0" w:color="auto"/>
              <w:right w:val="nil"/>
            </w:tcBorders>
            <w:shd w:val="clear" w:color="000000" w:fill="FFFFFF"/>
            <w:vAlign w:val="center"/>
            <w:hideMark/>
          </w:tcPr>
          <w:p w14:paraId="39170988"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17,278 </w:t>
            </w:r>
          </w:p>
        </w:tc>
        <w:tc>
          <w:tcPr>
            <w:tcW w:w="258" w:type="dxa"/>
            <w:tcBorders>
              <w:top w:val="nil"/>
              <w:left w:val="nil"/>
              <w:bottom w:val="nil"/>
              <w:right w:val="nil"/>
            </w:tcBorders>
            <w:shd w:val="clear" w:color="000000" w:fill="FFFFFF"/>
            <w:vAlign w:val="center"/>
            <w:hideMark/>
          </w:tcPr>
          <w:p w14:paraId="43D56B1E"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w:t>
            </w:r>
          </w:p>
        </w:tc>
        <w:tc>
          <w:tcPr>
            <w:tcW w:w="877" w:type="dxa"/>
            <w:tcBorders>
              <w:top w:val="single" w:sz="4" w:space="0" w:color="auto"/>
              <w:left w:val="nil"/>
              <w:bottom w:val="double" w:sz="6" w:space="0" w:color="auto"/>
              <w:right w:val="nil"/>
            </w:tcBorders>
            <w:shd w:val="clear" w:color="000000" w:fill="FFFFFF"/>
            <w:vAlign w:val="center"/>
            <w:hideMark/>
          </w:tcPr>
          <w:p w14:paraId="6D7B2707"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(5)</w:t>
            </w:r>
          </w:p>
        </w:tc>
        <w:tc>
          <w:tcPr>
            <w:tcW w:w="271" w:type="dxa"/>
            <w:tcBorders>
              <w:top w:val="nil"/>
              <w:left w:val="nil"/>
              <w:bottom w:val="nil"/>
              <w:right w:val="nil"/>
            </w:tcBorders>
            <w:shd w:val="clear" w:color="000000" w:fill="FFFFFF"/>
            <w:noWrap/>
            <w:vAlign w:val="bottom"/>
            <w:hideMark/>
          </w:tcPr>
          <w:p w14:paraId="28951C2C"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119" w:type="dxa"/>
            <w:tcBorders>
              <w:top w:val="single" w:sz="4" w:space="0" w:color="auto"/>
              <w:left w:val="nil"/>
              <w:bottom w:val="double" w:sz="6" w:space="0" w:color="auto"/>
              <w:right w:val="nil"/>
            </w:tcBorders>
            <w:shd w:val="clear" w:color="000000" w:fill="FFFFFF"/>
            <w:vAlign w:val="center"/>
            <w:hideMark/>
          </w:tcPr>
          <w:p w14:paraId="7B669BB9"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(4,530)</w:t>
            </w:r>
          </w:p>
        </w:tc>
        <w:tc>
          <w:tcPr>
            <w:tcW w:w="258" w:type="dxa"/>
            <w:tcBorders>
              <w:top w:val="nil"/>
              <w:left w:val="nil"/>
              <w:bottom w:val="nil"/>
              <w:right w:val="nil"/>
            </w:tcBorders>
            <w:shd w:val="clear" w:color="000000" w:fill="FFFFFF"/>
            <w:vAlign w:val="center"/>
            <w:hideMark/>
          </w:tcPr>
          <w:p w14:paraId="2A70FCF2" w14:textId="77777777" w:rsidR="003105FC" w:rsidRPr="003105FC" w:rsidRDefault="003105FC" w:rsidP="003105FC">
            <w:pPr>
              <w:spacing w:after="0"/>
              <w:jc w:val="right"/>
              <w:rPr>
                <w:rFonts w:ascii="Calibri" w:hAnsi="Calibri" w:cs="Arial"/>
                <w:szCs w:val="18"/>
                <w:lang w:eastAsia="en-GB"/>
              </w:rPr>
            </w:pPr>
            <w:r w:rsidRPr="003105FC">
              <w:rPr>
                <w:rFonts w:ascii="Calibri" w:hAnsi="Calibri" w:cs="Arial"/>
                <w:szCs w:val="18"/>
                <w:lang w:eastAsia="en-GB"/>
              </w:rPr>
              <w:t> </w:t>
            </w:r>
          </w:p>
        </w:tc>
        <w:tc>
          <w:tcPr>
            <w:tcW w:w="1036" w:type="dxa"/>
            <w:tcBorders>
              <w:top w:val="single" w:sz="4" w:space="0" w:color="auto"/>
              <w:left w:val="nil"/>
              <w:bottom w:val="double" w:sz="6" w:space="0" w:color="auto"/>
              <w:right w:val="nil"/>
            </w:tcBorders>
            <w:shd w:val="clear" w:color="000000" w:fill="FFFFFF"/>
            <w:vAlign w:val="center"/>
            <w:hideMark/>
          </w:tcPr>
          <w:p w14:paraId="4BA4A9C1"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(23,528)</w:t>
            </w:r>
          </w:p>
        </w:tc>
        <w:tc>
          <w:tcPr>
            <w:tcW w:w="258" w:type="dxa"/>
            <w:tcBorders>
              <w:top w:val="nil"/>
              <w:left w:val="nil"/>
              <w:bottom w:val="nil"/>
              <w:right w:val="nil"/>
            </w:tcBorders>
            <w:shd w:val="clear" w:color="000000" w:fill="FFFFFF"/>
            <w:vAlign w:val="center"/>
            <w:hideMark/>
          </w:tcPr>
          <w:p w14:paraId="071122CA"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w:t>
            </w:r>
          </w:p>
        </w:tc>
        <w:tc>
          <w:tcPr>
            <w:tcW w:w="1043" w:type="dxa"/>
            <w:tcBorders>
              <w:top w:val="single" w:sz="4" w:space="0" w:color="auto"/>
              <w:left w:val="nil"/>
              <w:bottom w:val="double" w:sz="6" w:space="0" w:color="auto"/>
              <w:right w:val="nil"/>
            </w:tcBorders>
            <w:shd w:val="clear" w:color="000000" w:fill="FFFFFF"/>
            <w:vAlign w:val="center"/>
            <w:hideMark/>
          </w:tcPr>
          <w:p w14:paraId="37705269" w14:textId="77777777" w:rsidR="003105FC" w:rsidRPr="003105FC" w:rsidRDefault="003105FC" w:rsidP="003105FC">
            <w:pPr>
              <w:spacing w:after="0"/>
              <w:jc w:val="right"/>
              <w:rPr>
                <w:rFonts w:ascii="Calibri" w:hAnsi="Calibri" w:cs="Arial"/>
                <w:b/>
                <w:bCs/>
                <w:szCs w:val="18"/>
                <w:lang w:eastAsia="en-GB"/>
              </w:rPr>
            </w:pPr>
            <w:r w:rsidRPr="003105FC">
              <w:rPr>
                <w:rFonts w:ascii="Calibri" w:hAnsi="Calibri" w:cs="Arial"/>
                <w:b/>
                <w:bCs/>
                <w:szCs w:val="18"/>
                <w:lang w:eastAsia="en-GB"/>
              </w:rPr>
              <w:t xml:space="preserve">790 </w:t>
            </w:r>
          </w:p>
        </w:tc>
      </w:tr>
    </w:tbl>
    <w:p w14:paraId="52AF8C43" w14:textId="77777777" w:rsidR="00784641" w:rsidRDefault="00784641" w:rsidP="00784641">
      <w:pPr>
        <w:pStyle w:val="Heading2"/>
        <w:tabs>
          <w:tab w:val="left" w:pos="540"/>
        </w:tabs>
        <w:jc w:val="both"/>
        <w:rPr>
          <w:rFonts w:ascii="Calibri" w:hAnsi="Calibri" w:cs="Arial"/>
          <w:noProof/>
          <w:color w:val="000000"/>
          <w:szCs w:val="18"/>
          <w:highlight w:val="yellow"/>
        </w:rPr>
      </w:pPr>
    </w:p>
    <w:p w14:paraId="76DEBB38" w14:textId="77777777" w:rsidR="00F032FF" w:rsidRDefault="00F032FF" w:rsidP="00F032FF">
      <w:pPr>
        <w:pStyle w:val="Header"/>
        <w:rPr>
          <w:sz w:val="18"/>
        </w:rPr>
      </w:pPr>
    </w:p>
    <w:p w14:paraId="2A55F9A1" w14:textId="77777777" w:rsidR="00F032FF" w:rsidRDefault="00F032FF">
      <w:pPr>
        <w:spacing w:after="160" w:line="259" w:lineRule="auto"/>
        <w:rPr>
          <w:b/>
          <w:sz w:val="22"/>
        </w:rPr>
      </w:pPr>
      <w:r>
        <w:rPr>
          <w:b/>
        </w:rPr>
        <w:br w:type="page"/>
      </w:r>
    </w:p>
    <w:p w14:paraId="599A06D5" w14:textId="69BA4780" w:rsidR="00F032FF" w:rsidRPr="004F7E52" w:rsidRDefault="00F032FF" w:rsidP="00F032FF">
      <w:pPr>
        <w:pStyle w:val="Header"/>
        <w:rPr>
          <w:b/>
        </w:rPr>
      </w:pPr>
      <w:r>
        <w:rPr>
          <w:b/>
        </w:rPr>
        <w:lastRenderedPageBreak/>
        <w:t>7digital</w:t>
      </w:r>
      <w:r w:rsidRPr="004F7E52">
        <w:rPr>
          <w:b/>
        </w:rPr>
        <w:t xml:space="preserve"> Group plc</w:t>
      </w:r>
    </w:p>
    <w:p w14:paraId="0504FE9C" w14:textId="77777777" w:rsidR="00F032FF" w:rsidRDefault="00F032FF" w:rsidP="00F032FF">
      <w:pPr>
        <w:pStyle w:val="Header"/>
        <w:rPr>
          <w:b/>
        </w:rPr>
      </w:pPr>
      <w:r>
        <w:rPr>
          <w:b/>
        </w:rPr>
        <w:t>Notes to the financial statements</w:t>
      </w:r>
    </w:p>
    <w:p w14:paraId="2BA8695C" w14:textId="77777777" w:rsidR="00F032FF" w:rsidRPr="004F7E52" w:rsidRDefault="00F032FF" w:rsidP="00F032FF">
      <w:pPr>
        <w:pStyle w:val="Header"/>
        <w:rPr>
          <w:b/>
        </w:rPr>
      </w:pPr>
      <w:r>
        <w:rPr>
          <w:b/>
        </w:rPr>
        <w:t>Six months ended 30 June 2016 (unaudited)</w:t>
      </w:r>
    </w:p>
    <w:p w14:paraId="59C15A83" w14:textId="77777777" w:rsidR="00F032FF" w:rsidRDefault="00F032FF" w:rsidP="00784641">
      <w:pPr>
        <w:pStyle w:val="Heading2"/>
        <w:tabs>
          <w:tab w:val="left" w:pos="540"/>
        </w:tabs>
        <w:jc w:val="both"/>
        <w:rPr>
          <w:rFonts w:ascii="Calibri" w:hAnsi="Calibri"/>
          <w:caps/>
          <w:noProof/>
          <w:color w:val="000000"/>
          <w:kern w:val="2"/>
          <w:sz w:val="18"/>
          <w:szCs w:val="18"/>
        </w:rPr>
      </w:pPr>
    </w:p>
    <w:p w14:paraId="33A4D8C2" w14:textId="77777777" w:rsidR="00784641" w:rsidRPr="000C331C" w:rsidRDefault="004B015C" w:rsidP="00784641">
      <w:pPr>
        <w:pStyle w:val="Heading2"/>
        <w:tabs>
          <w:tab w:val="left" w:pos="540"/>
        </w:tabs>
        <w:jc w:val="both"/>
        <w:rPr>
          <w:rFonts w:ascii="Calibri" w:hAnsi="Calibri"/>
          <w:caps/>
          <w:noProof/>
          <w:color w:val="000000"/>
          <w:kern w:val="2"/>
          <w:sz w:val="18"/>
          <w:szCs w:val="18"/>
        </w:rPr>
      </w:pPr>
      <w:r>
        <w:rPr>
          <w:rFonts w:ascii="Calibri" w:hAnsi="Calibri"/>
          <w:caps/>
          <w:noProof/>
          <w:color w:val="000000"/>
          <w:kern w:val="2"/>
          <w:sz w:val="18"/>
          <w:szCs w:val="18"/>
        </w:rPr>
        <w:t>1.</w:t>
      </w:r>
      <w:r>
        <w:rPr>
          <w:rFonts w:ascii="Calibri" w:hAnsi="Calibri"/>
          <w:caps/>
          <w:noProof/>
          <w:color w:val="000000"/>
          <w:kern w:val="2"/>
          <w:sz w:val="18"/>
          <w:szCs w:val="18"/>
        </w:rPr>
        <w:tab/>
        <w:t>P</w:t>
      </w:r>
      <w:r>
        <w:rPr>
          <w:rFonts w:ascii="Calibri" w:hAnsi="Calibri"/>
          <w:noProof/>
          <w:color w:val="000000"/>
          <w:kern w:val="2"/>
          <w:sz w:val="18"/>
          <w:szCs w:val="18"/>
        </w:rPr>
        <w:t>resentation of financial information and accounting policies</w:t>
      </w:r>
    </w:p>
    <w:p w14:paraId="561C4BF6" w14:textId="77777777" w:rsidR="00784641" w:rsidRPr="00D373EF" w:rsidRDefault="004B015C" w:rsidP="0018303A">
      <w:pPr>
        <w:pStyle w:val="NormalIndent"/>
        <w:spacing w:after="0"/>
        <w:jc w:val="both"/>
        <w:rPr>
          <w:rFonts w:ascii="Calibri" w:hAnsi="Calibri"/>
          <w:color w:val="000000"/>
          <w:szCs w:val="18"/>
        </w:rPr>
      </w:pPr>
      <w:r>
        <w:rPr>
          <w:rFonts w:ascii="Calibri" w:hAnsi="Calibri"/>
          <w:b/>
          <w:noProof/>
          <w:color w:val="000000"/>
          <w:szCs w:val="18"/>
        </w:rPr>
        <w:t>Basis of preparation</w:t>
      </w:r>
    </w:p>
    <w:p w14:paraId="169B1322" w14:textId="77777777" w:rsidR="0018303A" w:rsidRPr="00D373EF" w:rsidRDefault="0018303A" w:rsidP="0018303A">
      <w:pPr>
        <w:autoSpaceDE w:val="0"/>
        <w:autoSpaceDN w:val="0"/>
        <w:adjustRightInd w:val="0"/>
        <w:spacing w:after="0"/>
        <w:ind w:left="567"/>
        <w:jc w:val="both"/>
        <w:rPr>
          <w:rFonts w:ascii="Calibri" w:hAnsi="Calibri"/>
          <w:color w:val="000000"/>
          <w:szCs w:val="18"/>
        </w:rPr>
      </w:pPr>
    </w:p>
    <w:p w14:paraId="5639AF01" w14:textId="77777777" w:rsidR="00784641" w:rsidRPr="00D373EF" w:rsidRDefault="004B015C" w:rsidP="0018303A">
      <w:pPr>
        <w:autoSpaceDE w:val="0"/>
        <w:autoSpaceDN w:val="0"/>
        <w:adjustRightInd w:val="0"/>
        <w:spacing w:after="0"/>
        <w:ind w:left="567"/>
        <w:jc w:val="both"/>
        <w:rPr>
          <w:rFonts w:ascii="Calibri" w:hAnsi="Calibri"/>
          <w:color w:val="000000"/>
          <w:szCs w:val="18"/>
        </w:rPr>
      </w:pPr>
      <w:r>
        <w:rPr>
          <w:rFonts w:ascii="Calibri" w:hAnsi="Calibri"/>
          <w:color w:val="000000"/>
          <w:szCs w:val="18"/>
        </w:rPr>
        <w:t>The condensed consolidated financial statements are for the six months to 30 June 201</w:t>
      </w:r>
      <w:r w:rsidRPr="004B015C">
        <w:rPr>
          <w:rFonts w:ascii="Calibri" w:hAnsi="Calibri"/>
          <w:color w:val="000000"/>
          <w:szCs w:val="18"/>
        </w:rPr>
        <w:t>6</w:t>
      </w:r>
      <w:r>
        <w:rPr>
          <w:rFonts w:ascii="Calibri" w:hAnsi="Calibri"/>
          <w:color w:val="000000"/>
          <w:szCs w:val="18"/>
        </w:rPr>
        <w:t xml:space="preserve">. </w:t>
      </w:r>
    </w:p>
    <w:p w14:paraId="7DFBA748" w14:textId="77777777" w:rsidR="0018303A" w:rsidRPr="00D373EF" w:rsidRDefault="0018303A" w:rsidP="0018303A">
      <w:pPr>
        <w:autoSpaceDE w:val="0"/>
        <w:autoSpaceDN w:val="0"/>
        <w:adjustRightInd w:val="0"/>
        <w:spacing w:after="0"/>
        <w:ind w:left="567"/>
        <w:jc w:val="both"/>
        <w:rPr>
          <w:rFonts w:ascii="Calibri" w:hAnsi="Calibri"/>
          <w:color w:val="000000"/>
          <w:szCs w:val="18"/>
        </w:rPr>
      </w:pPr>
    </w:p>
    <w:p w14:paraId="3A4D60E7" w14:textId="77777777" w:rsidR="00784641" w:rsidRPr="00D373EF" w:rsidRDefault="004B015C" w:rsidP="0018303A">
      <w:pPr>
        <w:autoSpaceDE w:val="0"/>
        <w:autoSpaceDN w:val="0"/>
        <w:adjustRightInd w:val="0"/>
        <w:spacing w:after="0"/>
        <w:ind w:left="567"/>
        <w:jc w:val="both"/>
        <w:rPr>
          <w:rFonts w:ascii="Calibri" w:hAnsi="Calibri"/>
          <w:color w:val="000000"/>
          <w:szCs w:val="18"/>
        </w:rPr>
      </w:pPr>
      <w:r>
        <w:rPr>
          <w:rFonts w:ascii="Calibri" w:hAnsi="Calibri"/>
          <w:color w:val="000000"/>
          <w:szCs w:val="18"/>
        </w:rPr>
        <w:t>The combined financial information has been prepared in accordance with 7digital Group plc accounting policies. 7digital Group plc accounting policies are in accordance with International Financial Reporting Standards (“IFRS”) as adopted by the European Union and as issued by the International Accounting Standards Board, and are set out in the 7Digital Group plc Annual Reports and Financial Statements 201</w:t>
      </w:r>
      <w:r w:rsidRPr="004B015C">
        <w:rPr>
          <w:rFonts w:ascii="Calibri" w:hAnsi="Calibri"/>
          <w:color w:val="000000"/>
          <w:szCs w:val="18"/>
        </w:rPr>
        <w:t>5</w:t>
      </w:r>
      <w:r>
        <w:rPr>
          <w:rFonts w:ascii="Calibri" w:hAnsi="Calibri"/>
          <w:color w:val="000000"/>
          <w:szCs w:val="18"/>
        </w:rPr>
        <w:t>, with the exception of the application of new accounting standards.</w:t>
      </w:r>
    </w:p>
    <w:p w14:paraId="458B5F8D" w14:textId="77777777" w:rsidR="00784641" w:rsidRPr="00D373EF" w:rsidRDefault="00784641" w:rsidP="0018303A">
      <w:pPr>
        <w:autoSpaceDE w:val="0"/>
        <w:autoSpaceDN w:val="0"/>
        <w:adjustRightInd w:val="0"/>
        <w:spacing w:after="0"/>
        <w:jc w:val="both"/>
        <w:rPr>
          <w:rFonts w:ascii="Calibri" w:hAnsi="Calibri" w:cs="Swiss721BT-Light"/>
          <w:color w:val="000000"/>
          <w:szCs w:val="18"/>
        </w:rPr>
      </w:pPr>
    </w:p>
    <w:p w14:paraId="0EDD71B4" w14:textId="77777777" w:rsidR="00784641" w:rsidRPr="00D373EF" w:rsidRDefault="004B015C" w:rsidP="0018303A">
      <w:pPr>
        <w:autoSpaceDE w:val="0"/>
        <w:autoSpaceDN w:val="0"/>
        <w:adjustRightInd w:val="0"/>
        <w:spacing w:after="0"/>
        <w:ind w:left="567"/>
        <w:jc w:val="both"/>
        <w:rPr>
          <w:rFonts w:ascii="Calibri" w:hAnsi="Calibri" w:cs="Swiss721BT-Light"/>
          <w:color w:val="000000"/>
          <w:szCs w:val="18"/>
        </w:rPr>
      </w:pPr>
      <w:r>
        <w:rPr>
          <w:rFonts w:ascii="Calibri" w:hAnsi="Calibri" w:cs="Swiss721BT-Light"/>
          <w:color w:val="000000"/>
          <w:szCs w:val="18"/>
        </w:rPr>
        <w:t>The information for the six months ended 30 June 201</w:t>
      </w:r>
      <w:r w:rsidRPr="004B015C">
        <w:rPr>
          <w:rFonts w:ascii="Calibri" w:hAnsi="Calibri" w:cs="Swiss721BT-Light"/>
          <w:color w:val="000000"/>
          <w:szCs w:val="18"/>
        </w:rPr>
        <w:t>6</w:t>
      </w:r>
      <w:r>
        <w:rPr>
          <w:rFonts w:ascii="Calibri" w:hAnsi="Calibri" w:cs="Swiss721BT-Light"/>
          <w:color w:val="000000"/>
          <w:szCs w:val="18"/>
        </w:rPr>
        <w:t xml:space="preserve"> does not constitute statutory accounts as defined in section 434 of the Companies Act 2006. The information for the year ending 31 December 201</w:t>
      </w:r>
      <w:r w:rsidRPr="004B015C">
        <w:rPr>
          <w:rFonts w:ascii="Calibri" w:hAnsi="Calibri" w:cs="Swiss721BT-Light"/>
          <w:color w:val="000000"/>
          <w:szCs w:val="18"/>
        </w:rPr>
        <w:t>5</w:t>
      </w:r>
      <w:r>
        <w:rPr>
          <w:rFonts w:ascii="Calibri" w:hAnsi="Calibri" w:cs="Swiss721BT-Light"/>
          <w:color w:val="000000"/>
          <w:szCs w:val="18"/>
        </w:rPr>
        <w:t xml:space="preserve"> is taken from the Annual Reports and Financial Statements 201</w:t>
      </w:r>
      <w:r w:rsidRPr="004B015C">
        <w:rPr>
          <w:rFonts w:ascii="Calibri" w:hAnsi="Calibri" w:cs="Swiss721BT-Light"/>
          <w:color w:val="000000"/>
          <w:szCs w:val="18"/>
        </w:rPr>
        <w:t>5</w:t>
      </w:r>
      <w:r>
        <w:rPr>
          <w:rFonts w:ascii="Calibri" w:hAnsi="Calibri" w:cs="Swiss721BT-Light"/>
          <w:color w:val="000000"/>
          <w:szCs w:val="18"/>
        </w:rPr>
        <w:t xml:space="preserve"> of 7digital Group plc.</w:t>
      </w:r>
    </w:p>
    <w:p w14:paraId="605FB2D2" w14:textId="77777777" w:rsidR="00784641" w:rsidRPr="00B64527" w:rsidRDefault="00784641" w:rsidP="0018303A">
      <w:pPr>
        <w:pStyle w:val="NormalIndent"/>
        <w:spacing w:after="0"/>
        <w:jc w:val="both"/>
        <w:rPr>
          <w:rFonts w:ascii="Calibri" w:hAnsi="Calibri"/>
          <w:noProof/>
          <w:color w:val="000000"/>
          <w:szCs w:val="18"/>
          <w:highlight w:val="yellow"/>
        </w:rPr>
      </w:pPr>
    </w:p>
    <w:p w14:paraId="525C177A" w14:textId="77777777" w:rsidR="00784641" w:rsidRPr="00764613" w:rsidRDefault="00490B6E" w:rsidP="0018303A">
      <w:pPr>
        <w:autoSpaceDE w:val="0"/>
        <w:autoSpaceDN w:val="0"/>
        <w:adjustRightInd w:val="0"/>
        <w:spacing w:after="0"/>
        <w:ind w:left="567"/>
        <w:jc w:val="both"/>
        <w:rPr>
          <w:rFonts w:ascii="Calibri" w:hAnsi="Calibri" w:cs="Arial"/>
          <w:b/>
          <w:color w:val="000000"/>
          <w:szCs w:val="18"/>
        </w:rPr>
      </w:pPr>
      <w:r w:rsidRPr="00490B6E">
        <w:rPr>
          <w:rFonts w:ascii="Calibri" w:hAnsi="Calibri" w:cs="Arial"/>
          <w:b/>
          <w:color w:val="000000"/>
          <w:szCs w:val="18"/>
        </w:rPr>
        <w:t>Going concern</w:t>
      </w:r>
    </w:p>
    <w:p w14:paraId="31FD8075" w14:textId="77777777" w:rsidR="0018303A" w:rsidRPr="00B64527" w:rsidRDefault="0018303A" w:rsidP="0018303A">
      <w:pPr>
        <w:autoSpaceDE w:val="0"/>
        <w:autoSpaceDN w:val="0"/>
        <w:adjustRightInd w:val="0"/>
        <w:spacing w:after="0"/>
        <w:ind w:left="567"/>
        <w:jc w:val="both"/>
        <w:rPr>
          <w:rFonts w:ascii="Calibri" w:hAnsi="Calibri" w:cs="Swiss721BT-Light"/>
          <w:color w:val="000000"/>
          <w:szCs w:val="18"/>
          <w:highlight w:val="yellow"/>
        </w:rPr>
      </w:pPr>
    </w:p>
    <w:p w14:paraId="6535D9E0" w14:textId="77777777" w:rsidR="00784641" w:rsidRPr="00D373EF" w:rsidRDefault="004B015C" w:rsidP="0018303A">
      <w:pPr>
        <w:autoSpaceDE w:val="0"/>
        <w:autoSpaceDN w:val="0"/>
        <w:adjustRightInd w:val="0"/>
        <w:spacing w:after="0"/>
        <w:ind w:left="567"/>
        <w:jc w:val="both"/>
        <w:rPr>
          <w:rFonts w:ascii="Calibri" w:hAnsi="Calibri" w:cs="Swiss721BT-Light"/>
          <w:color w:val="000000"/>
          <w:szCs w:val="18"/>
        </w:rPr>
      </w:pPr>
      <w:r>
        <w:rPr>
          <w:rFonts w:ascii="Calibri" w:hAnsi="Calibri" w:cs="Swiss721BT-Light"/>
          <w:color w:val="000000"/>
          <w:szCs w:val="18"/>
        </w:rPr>
        <w:t>The condensed financial statements have been prepared on a going concern basis. At the period end, the Group had cash and cash equivalents of £</w:t>
      </w:r>
      <w:r w:rsidRPr="004B015C">
        <w:rPr>
          <w:rFonts w:ascii="Calibri" w:hAnsi="Calibri" w:cs="Swiss721BT-Light"/>
          <w:color w:val="000000"/>
          <w:szCs w:val="18"/>
        </w:rPr>
        <w:t>1</w:t>
      </w:r>
      <w:r>
        <w:rPr>
          <w:rFonts w:ascii="Calibri" w:hAnsi="Calibri" w:cs="Swiss721BT-Light"/>
          <w:color w:val="000000"/>
          <w:szCs w:val="18"/>
        </w:rPr>
        <w:t>.</w:t>
      </w:r>
      <w:r w:rsidRPr="004B015C">
        <w:rPr>
          <w:rFonts w:ascii="Calibri" w:hAnsi="Calibri" w:cs="Swiss721BT-Light"/>
          <w:color w:val="000000"/>
          <w:szCs w:val="18"/>
        </w:rPr>
        <w:t>1</w:t>
      </w:r>
      <w:r>
        <w:rPr>
          <w:rFonts w:ascii="Calibri" w:hAnsi="Calibri" w:cs="Swiss721BT-Light"/>
          <w:color w:val="000000"/>
          <w:szCs w:val="18"/>
        </w:rPr>
        <w:t xml:space="preserve">m. The directors are satisfied that there are sufficient resources available for the Group to continue for the foreseeable future. As such the condensed and consolidated financial statements have been prepared on a going concern basis. </w:t>
      </w:r>
      <w:r>
        <w:rPr>
          <w:rFonts w:ascii="Calibri" w:hAnsi="Calibri" w:cs="Swiss721BT-Light"/>
          <w:color w:val="000000"/>
          <w:szCs w:val="18"/>
        </w:rPr>
        <w:cr/>
      </w:r>
    </w:p>
    <w:p w14:paraId="5DF44A41" w14:textId="77777777" w:rsidR="00784641" w:rsidRPr="00D373EF" w:rsidRDefault="004B015C" w:rsidP="0018303A">
      <w:pPr>
        <w:autoSpaceDE w:val="0"/>
        <w:autoSpaceDN w:val="0"/>
        <w:adjustRightInd w:val="0"/>
        <w:spacing w:after="0"/>
        <w:ind w:left="567"/>
        <w:jc w:val="both"/>
        <w:rPr>
          <w:rFonts w:ascii="Calibri" w:hAnsi="Calibri" w:cs="Arial"/>
          <w:b/>
          <w:color w:val="000000"/>
          <w:szCs w:val="18"/>
        </w:rPr>
      </w:pPr>
      <w:r>
        <w:rPr>
          <w:rFonts w:ascii="Calibri" w:hAnsi="Calibri" w:cs="Arial"/>
          <w:b/>
          <w:color w:val="000000"/>
          <w:szCs w:val="18"/>
        </w:rPr>
        <w:t>Estimates and judgments</w:t>
      </w:r>
    </w:p>
    <w:p w14:paraId="7FD17E52" w14:textId="77777777" w:rsidR="0018303A" w:rsidRPr="00D373EF" w:rsidRDefault="0018303A" w:rsidP="0018303A">
      <w:pPr>
        <w:autoSpaceDE w:val="0"/>
        <w:autoSpaceDN w:val="0"/>
        <w:adjustRightInd w:val="0"/>
        <w:spacing w:after="0"/>
        <w:ind w:left="567"/>
        <w:jc w:val="both"/>
        <w:rPr>
          <w:rFonts w:ascii="Calibri" w:hAnsi="Calibri" w:cs="Swiss721BT-Light"/>
          <w:color w:val="000000"/>
          <w:szCs w:val="18"/>
        </w:rPr>
      </w:pPr>
    </w:p>
    <w:p w14:paraId="22E80069" w14:textId="77777777" w:rsidR="00784641" w:rsidRPr="00D373EF" w:rsidRDefault="004B015C" w:rsidP="0018303A">
      <w:pPr>
        <w:autoSpaceDE w:val="0"/>
        <w:autoSpaceDN w:val="0"/>
        <w:adjustRightInd w:val="0"/>
        <w:spacing w:after="0"/>
        <w:ind w:left="567"/>
        <w:jc w:val="both"/>
        <w:rPr>
          <w:rFonts w:ascii="Calibri" w:hAnsi="Calibri" w:cs="Swiss721BT-Light"/>
          <w:color w:val="000000"/>
          <w:szCs w:val="18"/>
        </w:rPr>
      </w:pPr>
      <w:r>
        <w:rPr>
          <w:rFonts w:ascii="Calibri" w:hAnsi="Calibri" w:cs="Swiss721BT-Light"/>
          <w:color w:val="000000"/>
          <w:szCs w:val="18"/>
        </w:rPr>
        <w:t>The preparation of a condensed set of financial statements requires management to make judgments, estimates and assumptions about the carrying amounts of assets and liabilities at each period end. The estimates and associated assumptions are based on historical experience and other factors that are considered to be relevant. Actual results may differ from these estimates. The estimates and underlying assumptions are reviewed on an on</w:t>
      </w:r>
      <w:r w:rsidR="00AE0A86">
        <w:rPr>
          <w:rFonts w:ascii="Calibri" w:hAnsi="Calibri" w:cs="Swiss721BT-Light"/>
          <w:color w:val="000000"/>
          <w:szCs w:val="18"/>
        </w:rPr>
        <w:t>-</w:t>
      </w:r>
      <w:r>
        <w:rPr>
          <w:rFonts w:ascii="Calibri" w:hAnsi="Calibri" w:cs="Swiss721BT-Light"/>
          <w:color w:val="000000"/>
          <w:szCs w:val="18"/>
        </w:rPr>
        <w:t>going basis.</w:t>
      </w:r>
    </w:p>
    <w:p w14:paraId="39646FEC" w14:textId="77777777" w:rsidR="00784641" w:rsidRPr="00D373EF" w:rsidRDefault="00784641" w:rsidP="0018303A">
      <w:pPr>
        <w:autoSpaceDE w:val="0"/>
        <w:autoSpaceDN w:val="0"/>
        <w:adjustRightInd w:val="0"/>
        <w:spacing w:after="0"/>
        <w:ind w:left="567"/>
        <w:jc w:val="both"/>
        <w:rPr>
          <w:rFonts w:ascii="Calibri" w:hAnsi="Calibri" w:cs="Swiss721BT-Light"/>
          <w:color w:val="000000"/>
          <w:szCs w:val="18"/>
        </w:rPr>
      </w:pPr>
    </w:p>
    <w:p w14:paraId="5D2677EA" w14:textId="77777777" w:rsidR="00784641" w:rsidRPr="00D373EF" w:rsidRDefault="004B015C" w:rsidP="0018303A">
      <w:pPr>
        <w:autoSpaceDE w:val="0"/>
        <w:autoSpaceDN w:val="0"/>
        <w:adjustRightInd w:val="0"/>
        <w:spacing w:after="0"/>
        <w:ind w:left="567"/>
        <w:jc w:val="both"/>
        <w:rPr>
          <w:rFonts w:ascii="Calibri" w:hAnsi="Calibri" w:cs="Swiss721BT-Light"/>
          <w:color w:val="000000"/>
          <w:szCs w:val="18"/>
        </w:rPr>
      </w:pPr>
      <w:r>
        <w:rPr>
          <w:rFonts w:ascii="Calibri" w:hAnsi="Calibri" w:cs="Swiss721BT-Light"/>
          <w:color w:val="000000"/>
          <w:szCs w:val="18"/>
        </w:rPr>
        <w:t>In preparing these condensed set of consolidated financial statements, the significant judgments made by management in applying the Group’s accounting policies and the key sources of estimation uncertainty were principally the same as those applied to the Group’s consolidated financial statements for the year ended 31 December 201</w:t>
      </w:r>
      <w:r w:rsidRPr="004B015C">
        <w:rPr>
          <w:rFonts w:ascii="Calibri" w:hAnsi="Calibri" w:cs="Swiss721BT-Light"/>
          <w:color w:val="000000"/>
          <w:szCs w:val="18"/>
        </w:rPr>
        <w:t>5</w:t>
      </w:r>
      <w:r>
        <w:rPr>
          <w:rFonts w:ascii="Calibri" w:hAnsi="Calibri" w:cs="Swiss721BT-Light"/>
          <w:color w:val="000000"/>
          <w:szCs w:val="18"/>
        </w:rPr>
        <w:t>.</w:t>
      </w:r>
    </w:p>
    <w:p w14:paraId="27D33B47" w14:textId="77777777" w:rsidR="00272C0A" w:rsidRPr="00D373EF" w:rsidRDefault="00272C0A" w:rsidP="0018303A">
      <w:pPr>
        <w:autoSpaceDE w:val="0"/>
        <w:autoSpaceDN w:val="0"/>
        <w:adjustRightInd w:val="0"/>
        <w:spacing w:after="0"/>
        <w:ind w:left="567"/>
        <w:jc w:val="both"/>
        <w:rPr>
          <w:rFonts w:ascii="Calibri" w:hAnsi="Calibri" w:cs="Swiss721BT-Light"/>
          <w:color w:val="000000"/>
          <w:szCs w:val="18"/>
        </w:rPr>
      </w:pPr>
    </w:p>
    <w:p w14:paraId="6D95E284" w14:textId="77777777" w:rsidR="009928C6" w:rsidRDefault="00490B6E">
      <w:pPr>
        <w:autoSpaceDE w:val="0"/>
        <w:autoSpaceDN w:val="0"/>
        <w:adjustRightInd w:val="0"/>
        <w:ind w:left="567"/>
        <w:jc w:val="both"/>
        <w:rPr>
          <w:rFonts w:ascii="Calibri" w:hAnsi="Calibri" w:cs="Arial"/>
          <w:b/>
          <w:color w:val="000000"/>
          <w:szCs w:val="18"/>
        </w:rPr>
      </w:pPr>
      <w:r w:rsidRPr="00490B6E">
        <w:rPr>
          <w:rFonts w:ascii="Calibri" w:hAnsi="Calibri" w:cs="Arial"/>
          <w:b/>
          <w:color w:val="000000"/>
          <w:szCs w:val="18"/>
        </w:rPr>
        <w:t>Valuation of intangible assets on acquisition</w:t>
      </w:r>
    </w:p>
    <w:p w14:paraId="2A1FC5FC" w14:textId="77777777" w:rsidR="009928C6" w:rsidRDefault="00490B6E">
      <w:pPr>
        <w:autoSpaceDE w:val="0"/>
        <w:autoSpaceDN w:val="0"/>
        <w:adjustRightInd w:val="0"/>
        <w:spacing w:after="0"/>
        <w:ind w:left="567"/>
        <w:jc w:val="both"/>
        <w:rPr>
          <w:rFonts w:ascii="Calibri" w:hAnsi="Calibri" w:cs="Swiss721BT-Light"/>
          <w:color w:val="000000"/>
          <w:szCs w:val="18"/>
        </w:rPr>
      </w:pPr>
      <w:r w:rsidRPr="00490B6E">
        <w:rPr>
          <w:rFonts w:ascii="Calibri" w:hAnsi="Calibri" w:cs="Swiss721BT-Light"/>
          <w:color w:val="000000"/>
          <w:szCs w:val="18"/>
        </w:rPr>
        <w:t>On acquiring a business the Group is required to consider the existence or otherwise of intangible assets. On identification of these assets</w:t>
      </w:r>
      <w:r w:rsidR="00764613">
        <w:rPr>
          <w:rFonts w:ascii="Calibri" w:hAnsi="Calibri" w:cs="Swiss721BT-Light"/>
          <w:color w:val="000000"/>
          <w:szCs w:val="18"/>
        </w:rPr>
        <w:t xml:space="preserve">, </w:t>
      </w:r>
      <w:r w:rsidRPr="00490B6E">
        <w:rPr>
          <w:rFonts w:ascii="Calibri" w:hAnsi="Calibri" w:cs="Swiss721BT-Light"/>
          <w:color w:val="000000"/>
          <w:szCs w:val="18"/>
        </w:rPr>
        <w:t xml:space="preserve">the Group </w:t>
      </w:r>
      <w:r w:rsidR="00764613">
        <w:rPr>
          <w:rFonts w:ascii="Calibri" w:hAnsi="Calibri" w:cs="Swiss721BT-Light"/>
          <w:color w:val="000000"/>
          <w:szCs w:val="18"/>
        </w:rPr>
        <w:t>compares</w:t>
      </w:r>
      <w:r w:rsidRPr="00490B6E">
        <w:rPr>
          <w:rFonts w:ascii="Calibri" w:hAnsi="Calibri" w:cs="Swiss721BT-Light"/>
          <w:color w:val="000000"/>
          <w:szCs w:val="18"/>
        </w:rPr>
        <w:t xml:space="preserve"> the </w:t>
      </w:r>
      <w:r w:rsidR="00416C4D">
        <w:rPr>
          <w:rFonts w:ascii="Calibri" w:hAnsi="Calibri" w:cs="Swiss721BT-Light"/>
          <w:color w:val="000000"/>
          <w:szCs w:val="18"/>
        </w:rPr>
        <w:t xml:space="preserve">consideration paid </w:t>
      </w:r>
      <w:r w:rsidR="00764613">
        <w:rPr>
          <w:rFonts w:ascii="Calibri" w:hAnsi="Calibri" w:cs="Swiss721BT-Light"/>
          <w:color w:val="000000"/>
          <w:szCs w:val="18"/>
        </w:rPr>
        <w:t>with</w:t>
      </w:r>
      <w:r w:rsidR="00416C4D">
        <w:rPr>
          <w:rFonts w:ascii="Calibri" w:hAnsi="Calibri" w:cs="Swiss721BT-Light"/>
          <w:color w:val="000000"/>
          <w:szCs w:val="18"/>
        </w:rPr>
        <w:t xml:space="preserve"> the </w:t>
      </w:r>
      <w:r w:rsidR="00764613">
        <w:rPr>
          <w:rFonts w:ascii="Calibri" w:hAnsi="Calibri" w:cs="Swiss721BT-Light"/>
          <w:color w:val="000000"/>
          <w:szCs w:val="18"/>
        </w:rPr>
        <w:t xml:space="preserve">fair </w:t>
      </w:r>
      <w:r w:rsidR="00416C4D">
        <w:rPr>
          <w:rFonts w:ascii="Calibri" w:hAnsi="Calibri" w:cs="Swiss721BT-Light"/>
          <w:color w:val="000000"/>
          <w:szCs w:val="18"/>
        </w:rPr>
        <w:t>value of the assets acquired</w:t>
      </w:r>
      <w:r w:rsidRPr="00490B6E">
        <w:rPr>
          <w:rFonts w:ascii="Calibri" w:hAnsi="Calibri" w:cs="Swiss721BT-Light"/>
          <w:color w:val="000000"/>
          <w:szCs w:val="18"/>
        </w:rPr>
        <w:t>.</w:t>
      </w:r>
      <w:r w:rsidR="00416C4D">
        <w:rPr>
          <w:rFonts w:ascii="Calibri" w:hAnsi="Calibri" w:cs="Swiss721BT-Light"/>
          <w:color w:val="000000"/>
          <w:szCs w:val="18"/>
        </w:rPr>
        <w:t xml:space="preserve"> </w:t>
      </w:r>
      <w:r w:rsidRPr="00490B6E">
        <w:rPr>
          <w:rFonts w:ascii="Calibri" w:hAnsi="Calibri" w:cs="Swiss721BT-Light"/>
          <w:color w:val="000000"/>
          <w:szCs w:val="18"/>
        </w:rPr>
        <w:t xml:space="preserve">Amortisation is calculated using the straight-line method over the expected useful life of the </w:t>
      </w:r>
      <w:r w:rsidR="00416C4D">
        <w:rPr>
          <w:rFonts w:ascii="Calibri" w:hAnsi="Calibri" w:cs="Swiss721BT-Light"/>
          <w:color w:val="000000"/>
          <w:szCs w:val="18"/>
        </w:rPr>
        <w:t xml:space="preserve">intangible. </w:t>
      </w:r>
      <w:r w:rsidR="00AE0A86">
        <w:rPr>
          <w:rFonts w:ascii="Calibri" w:hAnsi="Calibri" w:cs="Swiss721BT-Light"/>
          <w:color w:val="000000"/>
          <w:szCs w:val="18"/>
        </w:rPr>
        <w:t xml:space="preserve">For </w:t>
      </w:r>
      <w:r w:rsidR="002E5130">
        <w:rPr>
          <w:rFonts w:ascii="Calibri" w:hAnsi="Calibri" w:cs="Swiss721BT-Light"/>
          <w:color w:val="000000"/>
          <w:szCs w:val="18"/>
        </w:rPr>
        <w:t>Bespoke Software and Intellectual P</w:t>
      </w:r>
      <w:r w:rsidR="00AE0A86">
        <w:rPr>
          <w:rFonts w:ascii="Calibri" w:hAnsi="Calibri" w:cs="Swiss721BT-Light"/>
          <w:color w:val="000000"/>
          <w:szCs w:val="18"/>
        </w:rPr>
        <w:t>roperty contained within software the expected useful life</w:t>
      </w:r>
      <w:r w:rsidR="00416C4D">
        <w:rPr>
          <w:rFonts w:ascii="Calibri" w:hAnsi="Calibri" w:cs="Swiss721BT-Light"/>
          <w:color w:val="000000"/>
          <w:szCs w:val="18"/>
        </w:rPr>
        <w:t xml:space="preserve"> </w:t>
      </w:r>
      <w:r w:rsidRPr="00490B6E">
        <w:rPr>
          <w:rFonts w:ascii="Calibri" w:hAnsi="Calibri" w:cs="Swiss721BT-Light"/>
          <w:color w:val="000000"/>
          <w:szCs w:val="18"/>
        </w:rPr>
        <w:t xml:space="preserve">is estimated at </w:t>
      </w:r>
      <w:r w:rsidR="00416C4D">
        <w:rPr>
          <w:rFonts w:ascii="Calibri" w:hAnsi="Calibri" w:cs="Swiss721BT-Light"/>
          <w:color w:val="000000"/>
          <w:szCs w:val="18"/>
        </w:rPr>
        <w:t>three</w:t>
      </w:r>
      <w:r w:rsidRPr="00490B6E">
        <w:rPr>
          <w:rFonts w:ascii="Calibri" w:hAnsi="Calibri" w:cs="Swiss721BT-Light"/>
          <w:color w:val="000000"/>
          <w:szCs w:val="18"/>
        </w:rPr>
        <w:t xml:space="preserve"> years</w:t>
      </w:r>
      <w:r w:rsidR="00416C4D">
        <w:rPr>
          <w:rFonts w:ascii="Calibri" w:hAnsi="Calibri" w:cs="Swiss721BT-Light"/>
          <w:color w:val="000000"/>
          <w:szCs w:val="18"/>
        </w:rPr>
        <w:t>.</w:t>
      </w:r>
    </w:p>
    <w:p w14:paraId="1FFB1AE8" w14:textId="77777777" w:rsidR="0019742F" w:rsidRDefault="004B015C">
      <w:pPr>
        <w:autoSpaceDE w:val="0"/>
        <w:autoSpaceDN w:val="0"/>
        <w:adjustRightInd w:val="0"/>
        <w:spacing w:after="0"/>
        <w:ind w:left="567"/>
        <w:jc w:val="both"/>
        <w:rPr>
          <w:rFonts w:ascii="Calibri" w:hAnsi="Calibri" w:cs="Swiss721BT-Light"/>
          <w:color w:val="000000"/>
          <w:szCs w:val="18"/>
        </w:rPr>
      </w:pPr>
      <w:r w:rsidRPr="004B015C">
        <w:rPr>
          <w:rFonts w:ascii="Calibri" w:hAnsi="Calibri" w:cs="Swiss721BT-Light"/>
          <w:color w:val="000000"/>
          <w:szCs w:val="18"/>
        </w:rPr>
        <w:br w:type="page"/>
      </w:r>
    </w:p>
    <w:p w14:paraId="7F43FF42" w14:textId="77777777" w:rsidR="001F11DD" w:rsidRDefault="004B015C" w:rsidP="001F11DD">
      <w:pPr>
        <w:pStyle w:val="Heading2"/>
        <w:tabs>
          <w:tab w:val="clear" w:pos="567"/>
          <w:tab w:val="left" w:pos="709"/>
        </w:tabs>
        <w:rPr>
          <w:rFonts w:ascii="Calibri" w:hAnsi="Calibri"/>
          <w:noProof/>
          <w:color w:val="000000"/>
          <w:sz w:val="18"/>
          <w:szCs w:val="18"/>
        </w:rPr>
      </w:pPr>
      <w:r>
        <w:rPr>
          <w:rFonts w:ascii="Calibri" w:hAnsi="Calibri"/>
          <w:noProof/>
          <w:color w:val="000000"/>
          <w:sz w:val="18"/>
          <w:szCs w:val="18"/>
        </w:rPr>
        <w:lastRenderedPageBreak/>
        <w:t>2.</w:t>
      </w:r>
      <w:r>
        <w:rPr>
          <w:rFonts w:ascii="Calibri" w:hAnsi="Calibri"/>
          <w:noProof/>
          <w:color w:val="000000"/>
          <w:sz w:val="18"/>
          <w:szCs w:val="18"/>
        </w:rPr>
        <w:tab/>
      </w:r>
      <w:bookmarkStart w:id="5" w:name="OLE_LINK3"/>
      <w:bookmarkStart w:id="6" w:name="OLE_LINK4"/>
      <w:r>
        <w:rPr>
          <w:rFonts w:ascii="Calibri" w:hAnsi="Calibri"/>
          <w:noProof/>
          <w:color w:val="000000"/>
          <w:sz w:val="18"/>
          <w:szCs w:val="18"/>
        </w:rPr>
        <w:t xml:space="preserve">Business and geographical segments </w:t>
      </w:r>
    </w:p>
    <w:p w14:paraId="6EA48408" w14:textId="77777777" w:rsidR="001F11DD" w:rsidRDefault="004B015C" w:rsidP="001F11DD">
      <w:pPr>
        <w:pStyle w:val="NormalIndent"/>
        <w:spacing w:after="0"/>
        <w:ind w:left="709"/>
        <w:jc w:val="both"/>
        <w:rPr>
          <w:rFonts w:ascii="Calibri" w:hAnsi="Calibri"/>
          <w:b/>
          <w:noProof/>
          <w:szCs w:val="18"/>
        </w:rPr>
      </w:pPr>
      <w:r>
        <w:rPr>
          <w:rFonts w:ascii="Calibri" w:hAnsi="Calibri"/>
          <w:b/>
          <w:noProof/>
          <w:szCs w:val="18"/>
        </w:rPr>
        <w:t>Business segments</w:t>
      </w:r>
    </w:p>
    <w:tbl>
      <w:tblPr>
        <w:tblW w:w="9509" w:type="dxa"/>
        <w:tblInd w:w="93" w:type="dxa"/>
        <w:tblLook w:val="04A0" w:firstRow="1" w:lastRow="0" w:firstColumn="1" w:lastColumn="0" w:noHBand="0" w:noVBand="1"/>
      </w:tblPr>
      <w:tblGrid>
        <w:gridCol w:w="5260"/>
        <w:gridCol w:w="1276"/>
        <w:gridCol w:w="280"/>
        <w:gridCol w:w="1134"/>
        <w:gridCol w:w="432"/>
        <w:gridCol w:w="1127"/>
      </w:tblGrid>
      <w:tr w:rsidR="00D373EF" w:rsidRPr="00D373EF" w14:paraId="0955845D" w14:textId="77777777" w:rsidTr="00B71EAB">
        <w:trPr>
          <w:trHeight w:val="675"/>
        </w:trPr>
        <w:tc>
          <w:tcPr>
            <w:tcW w:w="5260" w:type="dxa"/>
            <w:tcBorders>
              <w:top w:val="nil"/>
              <w:left w:val="nil"/>
              <w:bottom w:val="nil"/>
              <w:right w:val="nil"/>
            </w:tcBorders>
            <w:shd w:val="clear" w:color="000000" w:fill="FFFFFF"/>
            <w:vAlign w:val="center"/>
            <w:hideMark/>
          </w:tcPr>
          <w:bookmarkEnd w:id="5"/>
          <w:bookmarkEnd w:id="6"/>
          <w:p w14:paraId="386A06E4"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276" w:type="dxa"/>
            <w:tcBorders>
              <w:top w:val="nil"/>
              <w:left w:val="nil"/>
              <w:bottom w:val="nil"/>
              <w:right w:val="nil"/>
            </w:tcBorders>
            <w:shd w:val="clear" w:color="000000" w:fill="FFFFFF"/>
            <w:vAlign w:val="bottom"/>
            <w:hideMark/>
          </w:tcPr>
          <w:p w14:paraId="56972687" w14:textId="77777777" w:rsidR="001F11DD" w:rsidRDefault="00D373EF" w:rsidP="001F11DD">
            <w:pPr>
              <w:spacing w:after="0"/>
              <w:jc w:val="right"/>
              <w:rPr>
                <w:rFonts w:ascii="Calibri" w:hAnsi="Calibri" w:cs="Arial"/>
                <w:b/>
                <w:bCs/>
                <w:sz w:val="16"/>
                <w:szCs w:val="16"/>
                <w:lang w:eastAsia="en-GB"/>
              </w:rPr>
            </w:pPr>
            <w:r w:rsidRPr="00D373EF">
              <w:rPr>
                <w:rFonts w:ascii="Calibri" w:hAnsi="Calibri" w:cs="Arial"/>
                <w:b/>
                <w:bCs/>
                <w:sz w:val="16"/>
                <w:szCs w:val="16"/>
                <w:lang w:eastAsia="en-GB"/>
              </w:rPr>
              <w:t>Unaudited six months to 30 Jun 2016</w:t>
            </w:r>
          </w:p>
        </w:tc>
        <w:tc>
          <w:tcPr>
            <w:tcW w:w="280" w:type="dxa"/>
            <w:tcBorders>
              <w:top w:val="nil"/>
              <w:left w:val="nil"/>
              <w:bottom w:val="nil"/>
              <w:right w:val="nil"/>
            </w:tcBorders>
            <w:shd w:val="clear" w:color="000000" w:fill="FFFFFF"/>
            <w:vAlign w:val="bottom"/>
            <w:hideMark/>
          </w:tcPr>
          <w:p w14:paraId="7FADF0BD" w14:textId="77777777" w:rsidR="001F11DD" w:rsidRDefault="00D373EF" w:rsidP="001F11DD">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bottom"/>
            <w:hideMark/>
          </w:tcPr>
          <w:p w14:paraId="4EF991D9" w14:textId="77777777" w:rsidR="001F11DD" w:rsidRDefault="00D373EF" w:rsidP="001F11DD">
            <w:pPr>
              <w:spacing w:after="0"/>
              <w:jc w:val="right"/>
              <w:rPr>
                <w:rFonts w:ascii="Calibri" w:hAnsi="Calibri" w:cs="Arial"/>
                <w:sz w:val="16"/>
                <w:szCs w:val="16"/>
                <w:lang w:eastAsia="en-GB"/>
              </w:rPr>
            </w:pPr>
            <w:r w:rsidRPr="00D373EF">
              <w:rPr>
                <w:rFonts w:ascii="Calibri" w:hAnsi="Calibri" w:cs="Arial"/>
                <w:sz w:val="16"/>
                <w:szCs w:val="16"/>
                <w:lang w:eastAsia="en-GB"/>
              </w:rPr>
              <w:t>Unaudited six months to 30 Jun 2015</w:t>
            </w:r>
          </w:p>
        </w:tc>
        <w:tc>
          <w:tcPr>
            <w:tcW w:w="432" w:type="dxa"/>
            <w:tcBorders>
              <w:top w:val="nil"/>
              <w:left w:val="nil"/>
              <w:bottom w:val="nil"/>
              <w:right w:val="nil"/>
            </w:tcBorders>
            <w:shd w:val="clear" w:color="000000" w:fill="FFFFFF"/>
            <w:vAlign w:val="bottom"/>
            <w:hideMark/>
          </w:tcPr>
          <w:p w14:paraId="575D102A" w14:textId="77777777" w:rsidR="001F11DD" w:rsidRDefault="00D373EF" w:rsidP="001F11DD">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bottom"/>
            <w:hideMark/>
          </w:tcPr>
          <w:p w14:paraId="28420F66" w14:textId="724CAA96" w:rsidR="001F11DD" w:rsidRDefault="00D373EF" w:rsidP="00E02B68">
            <w:pPr>
              <w:spacing w:after="0"/>
              <w:jc w:val="right"/>
              <w:rPr>
                <w:rFonts w:ascii="Calibri" w:hAnsi="Calibri" w:cs="Arial"/>
                <w:sz w:val="16"/>
                <w:szCs w:val="16"/>
                <w:lang w:eastAsia="en-GB"/>
              </w:rPr>
            </w:pPr>
            <w:r w:rsidRPr="00D373EF">
              <w:rPr>
                <w:rFonts w:ascii="Calibri" w:hAnsi="Calibri" w:cs="Arial"/>
                <w:sz w:val="16"/>
                <w:szCs w:val="16"/>
                <w:lang w:eastAsia="en-GB"/>
              </w:rPr>
              <w:t>Audited full year ended 31 Dec 201</w:t>
            </w:r>
            <w:r w:rsidR="00E02B68">
              <w:rPr>
                <w:rFonts w:ascii="Calibri" w:hAnsi="Calibri" w:cs="Arial"/>
                <w:sz w:val="16"/>
                <w:szCs w:val="16"/>
                <w:lang w:eastAsia="en-GB"/>
              </w:rPr>
              <w:t>5</w:t>
            </w:r>
          </w:p>
        </w:tc>
      </w:tr>
      <w:tr w:rsidR="00D373EF" w:rsidRPr="00D373EF" w14:paraId="0A631430" w14:textId="77777777" w:rsidTr="00D373EF">
        <w:trPr>
          <w:trHeight w:val="225"/>
        </w:trPr>
        <w:tc>
          <w:tcPr>
            <w:tcW w:w="5260" w:type="dxa"/>
            <w:tcBorders>
              <w:top w:val="nil"/>
              <w:left w:val="nil"/>
              <w:bottom w:val="nil"/>
              <w:right w:val="nil"/>
            </w:tcBorders>
            <w:shd w:val="clear" w:color="000000" w:fill="FFFFFF"/>
            <w:noWrap/>
            <w:vAlign w:val="center"/>
            <w:hideMark/>
          </w:tcPr>
          <w:p w14:paraId="30C3A220"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276" w:type="dxa"/>
            <w:tcBorders>
              <w:top w:val="nil"/>
              <w:left w:val="nil"/>
              <w:bottom w:val="nil"/>
              <w:right w:val="nil"/>
            </w:tcBorders>
            <w:shd w:val="clear" w:color="000000" w:fill="FFFFFF"/>
            <w:noWrap/>
            <w:vAlign w:val="center"/>
            <w:hideMark/>
          </w:tcPr>
          <w:p w14:paraId="5C2F8442"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£'000</w:t>
            </w:r>
          </w:p>
        </w:tc>
        <w:tc>
          <w:tcPr>
            <w:tcW w:w="280" w:type="dxa"/>
            <w:tcBorders>
              <w:top w:val="nil"/>
              <w:left w:val="nil"/>
              <w:bottom w:val="nil"/>
              <w:right w:val="nil"/>
            </w:tcBorders>
            <w:shd w:val="clear" w:color="000000" w:fill="FFFFFF"/>
            <w:noWrap/>
            <w:vAlign w:val="center"/>
            <w:hideMark/>
          </w:tcPr>
          <w:p w14:paraId="25F1C1A1"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noWrap/>
            <w:vAlign w:val="center"/>
            <w:hideMark/>
          </w:tcPr>
          <w:p w14:paraId="469DF54F"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£'000</w:t>
            </w:r>
          </w:p>
        </w:tc>
        <w:tc>
          <w:tcPr>
            <w:tcW w:w="432" w:type="dxa"/>
            <w:tcBorders>
              <w:top w:val="nil"/>
              <w:left w:val="nil"/>
              <w:bottom w:val="nil"/>
              <w:right w:val="nil"/>
            </w:tcBorders>
            <w:shd w:val="clear" w:color="000000" w:fill="FFFFFF"/>
            <w:noWrap/>
            <w:vAlign w:val="center"/>
            <w:hideMark/>
          </w:tcPr>
          <w:p w14:paraId="34D8BDE7"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noWrap/>
            <w:vAlign w:val="center"/>
            <w:hideMark/>
          </w:tcPr>
          <w:p w14:paraId="79FA1776"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£'000</w:t>
            </w:r>
          </w:p>
        </w:tc>
      </w:tr>
      <w:tr w:rsidR="00D373EF" w:rsidRPr="00D373EF" w14:paraId="3A9C1FAE" w14:textId="77777777" w:rsidTr="00D373EF">
        <w:trPr>
          <w:trHeight w:val="225"/>
        </w:trPr>
        <w:tc>
          <w:tcPr>
            <w:tcW w:w="5260" w:type="dxa"/>
            <w:tcBorders>
              <w:top w:val="nil"/>
              <w:left w:val="nil"/>
              <w:bottom w:val="nil"/>
              <w:right w:val="nil"/>
            </w:tcBorders>
            <w:shd w:val="clear" w:color="000000" w:fill="FFFFFF"/>
            <w:noWrap/>
            <w:vAlign w:val="center"/>
            <w:hideMark/>
          </w:tcPr>
          <w:p w14:paraId="160A34E8" w14:textId="77777777" w:rsidR="00D373EF" w:rsidRPr="00D373EF" w:rsidRDefault="00D373EF" w:rsidP="00D373EF">
            <w:pPr>
              <w:spacing w:after="0"/>
              <w:rPr>
                <w:rFonts w:ascii="Calibri" w:hAnsi="Calibri" w:cs="Arial"/>
                <w:b/>
                <w:bCs/>
                <w:sz w:val="16"/>
                <w:szCs w:val="16"/>
                <w:lang w:eastAsia="en-GB"/>
              </w:rPr>
            </w:pPr>
            <w:r w:rsidRPr="00D373EF">
              <w:rPr>
                <w:rFonts w:ascii="Calibri" w:hAnsi="Calibri" w:cs="Arial"/>
                <w:b/>
                <w:bCs/>
                <w:sz w:val="16"/>
                <w:szCs w:val="16"/>
                <w:lang w:eastAsia="en-GB"/>
              </w:rPr>
              <w:t>Revenue</w:t>
            </w:r>
          </w:p>
        </w:tc>
        <w:tc>
          <w:tcPr>
            <w:tcW w:w="1276" w:type="dxa"/>
            <w:tcBorders>
              <w:top w:val="nil"/>
              <w:left w:val="nil"/>
              <w:bottom w:val="nil"/>
              <w:right w:val="nil"/>
            </w:tcBorders>
            <w:shd w:val="clear" w:color="000000" w:fill="FFFFFF"/>
            <w:noWrap/>
            <w:vAlign w:val="center"/>
            <w:hideMark/>
          </w:tcPr>
          <w:p w14:paraId="209C55FD" w14:textId="77777777" w:rsidR="00D373EF" w:rsidRPr="00D373EF" w:rsidRDefault="00D373EF" w:rsidP="00D373EF">
            <w:pPr>
              <w:spacing w:after="0"/>
              <w:rPr>
                <w:rFonts w:ascii="Calibri" w:hAnsi="Calibri" w:cs="Arial"/>
                <w:b/>
                <w:bCs/>
                <w:sz w:val="16"/>
                <w:szCs w:val="16"/>
                <w:lang w:eastAsia="en-GB"/>
              </w:rPr>
            </w:pPr>
            <w:r w:rsidRPr="00D373EF">
              <w:rPr>
                <w:rFonts w:ascii="Calibri" w:hAnsi="Calibri" w:cs="Arial"/>
                <w:b/>
                <w:bCs/>
                <w:sz w:val="16"/>
                <w:szCs w:val="16"/>
                <w:lang w:eastAsia="en-GB"/>
              </w:rPr>
              <w:t> </w:t>
            </w:r>
          </w:p>
        </w:tc>
        <w:tc>
          <w:tcPr>
            <w:tcW w:w="280" w:type="dxa"/>
            <w:tcBorders>
              <w:top w:val="nil"/>
              <w:left w:val="nil"/>
              <w:bottom w:val="nil"/>
              <w:right w:val="nil"/>
            </w:tcBorders>
            <w:shd w:val="clear" w:color="000000" w:fill="FFFFFF"/>
            <w:noWrap/>
            <w:vAlign w:val="center"/>
            <w:hideMark/>
          </w:tcPr>
          <w:p w14:paraId="289B9D1C"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noWrap/>
            <w:vAlign w:val="center"/>
            <w:hideMark/>
          </w:tcPr>
          <w:p w14:paraId="74E6F89C"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432" w:type="dxa"/>
            <w:tcBorders>
              <w:top w:val="nil"/>
              <w:left w:val="nil"/>
              <w:bottom w:val="nil"/>
              <w:right w:val="nil"/>
            </w:tcBorders>
            <w:shd w:val="clear" w:color="000000" w:fill="FFFFFF"/>
            <w:noWrap/>
            <w:vAlign w:val="center"/>
            <w:hideMark/>
          </w:tcPr>
          <w:p w14:paraId="5BDC76C6"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noWrap/>
            <w:vAlign w:val="center"/>
            <w:hideMark/>
          </w:tcPr>
          <w:p w14:paraId="33C57EBE"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r>
      <w:tr w:rsidR="00D373EF" w:rsidRPr="00D373EF" w14:paraId="3309B652" w14:textId="77777777" w:rsidTr="00D373EF">
        <w:trPr>
          <w:trHeight w:val="225"/>
        </w:trPr>
        <w:tc>
          <w:tcPr>
            <w:tcW w:w="5260" w:type="dxa"/>
            <w:tcBorders>
              <w:top w:val="nil"/>
              <w:left w:val="nil"/>
              <w:bottom w:val="nil"/>
              <w:right w:val="nil"/>
            </w:tcBorders>
            <w:shd w:val="clear" w:color="000000" w:fill="FFFFFF"/>
            <w:noWrap/>
            <w:vAlign w:val="center"/>
            <w:hideMark/>
          </w:tcPr>
          <w:p w14:paraId="12783C31"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Licensing</w:t>
            </w:r>
          </w:p>
        </w:tc>
        <w:tc>
          <w:tcPr>
            <w:tcW w:w="1276" w:type="dxa"/>
            <w:tcBorders>
              <w:top w:val="nil"/>
              <w:left w:val="nil"/>
              <w:bottom w:val="nil"/>
              <w:right w:val="nil"/>
            </w:tcBorders>
            <w:shd w:val="clear" w:color="000000" w:fill="FFFFFF"/>
            <w:vAlign w:val="center"/>
            <w:hideMark/>
          </w:tcPr>
          <w:p w14:paraId="29A9DF72"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3,043 </w:t>
            </w:r>
          </w:p>
        </w:tc>
        <w:tc>
          <w:tcPr>
            <w:tcW w:w="280" w:type="dxa"/>
            <w:tcBorders>
              <w:top w:val="nil"/>
              <w:left w:val="nil"/>
              <w:bottom w:val="nil"/>
              <w:right w:val="nil"/>
            </w:tcBorders>
            <w:shd w:val="clear" w:color="000000" w:fill="FFFFFF"/>
            <w:vAlign w:val="center"/>
            <w:hideMark/>
          </w:tcPr>
          <w:p w14:paraId="74EDE25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651214B3"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3,131 </w:t>
            </w:r>
          </w:p>
        </w:tc>
        <w:tc>
          <w:tcPr>
            <w:tcW w:w="432" w:type="dxa"/>
            <w:tcBorders>
              <w:top w:val="nil"/>
              <w:left w:val="nil"/>
              <w:bottom w:val="nil"/>
              <w:right w:val="nil"/>
            </w:tcBorders>
            <w:shd w:val="clear" w:color="000000" w:fill="FFFFFF"/>
            <w:vAlign w:val="center"/>
            <w:hideMark/>
          </w:tcPr>
          <w:p w14:paraId="01B10E3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007C13A1"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6,508 </w:t>
            </w:r>
          </w:p>
        </w:tc>
      </w:tr>
      <w:tr w:rsidR="00D373EF" w:rsidRPr="00D373EF" w14:paraId="30CC6BEE" w14:textId="77777777" w:rsidTr="00D373EF">
        <w:trPr>
          <w:trHeight w:val="225"/>
        </w:trPr>
        <w:tc>
          <w:tcPr>
            <w:tcW w:w="5260" w:type="dxa"/>
            <w:tcBorders>
              <w:top w:val="nil"/>
              <w:left w:val="nil"/>
              <w:bottom w:val="nil"/>
              <w:right w:val="nil"/>
            </w:tcBorders>
            <w:shd w:val="clear" w:color="000000" w:fill="FFFFFF"/>
            <w:noWrap/>
            <w:vAlign w:val="center"/>
            <w:hideMark/>
          </w:tcPr>
          <w:p w14:paraId="16A4466C"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Content</w:t>
            </w:r>
          </w:p>
        </w:tc>
        <w:tc>
          <w:tcPr>
            <w:tcW w:w="1276" w:type="dxa"/>
            <w:tcBorders>
              <w:top w:val="nil"/>
              <w:left w:val="nil"/>
              <w:bottom w:val="nil"/>
              <w:right w:val="nil"/>
            </w:tcBorders>
            <w:shd w:val="clear" w:color="000000" w:fill="FFFFFF"/>
            <w:vAlign w:val="center"/>
            <w:hideMark/>
          </w:tcPr>
          <w:p w14:paraId="372E4D60"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1,367 </w:t>
            </w:r>
          </w:p>
        </w:tc>
        <w:tc>
          <w:tcPr>
            <w:tcW w:w="280" w:type="dxa"/>
            <w:tcBorders>
              <w:top w:val="nil"/>
              <w:left w:val="nil"/>
              <w:bottom w:val="nil"/>
              <w:right w:val="nil"/>
            </w:tcBorders>
            <w:shd w:val="clear" w:color="000000" w:fill="FFFFFF"/>
            <w:vAlign w:val="center"/>
            <w:hideMark/>
          </w:tcPr>
          <w:p w14:paraId="065B3D8C"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7554E199"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1,101 </w:t>
            </w:r>
          </w:p>
        </w:tc>
        <w:tc>
          <w:tcPr>
            <w:tcW w:w="432" w:type="dxa"/>
            <w:tcBorders>
              <w:top w:val="nil"/>
              <w:left w:val="nil"/>
              <w:bottom w:val="nil"/>
              <w:right w:val="nil"/>
            </w:tcBorders>
            <w:shd w:val="clear" w:color="000000" w:fill="FFFFFF"/>
            <w:vAlign w:val="center"/>
            <w:hideMark/>
          </w:tcPr>
          <w:p w14:paraId="545F9E32"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7344C87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2,012 </w:t>
            </w:r>
          </w:p>
        </w:tc>
      </w:tr>
      <w:tr w:rsidR="00D373EF" w:rsidRPr="00D373EF" w14:paraId="62E7470E" w14:textId="77777777" w:rsidTr="00D373EF">
        <w:trPr>
          <w:trHeight w:val="225"/>
        </w:trPr>
        <w:tc>
          <w:tcPr>
            <w:tcW w:w="5260" w:type="dxa"/>
            <w:tcBorders>
              <w:top w:val="nil"/>
              <w:left w:val="nil"/>
              <w:bottom w:val="nil"/>
              <w:right w:val="nil"/>
            </w:tcBorders>
            <w:shd w:val="clear" w:color="000000" w:fill="FFFFFF"/>
            <w:noWrap/>
            <w:vAlign w:val="center"/>
            <w:hideMark/>
          </w:tcPr>
          <w:p w14:paraId="2D556181" w14:textId="2D9B85DA" w:rsidR="00D373EF" w:rsidRPr="00D373EF" w:rsidRDefault="003A3914" w:rsidP="00D373EF">
            <w:pPr>
              <w:spacing w:after="0"/>
              <w:rPr>
                <w:rFonts w:ascii="Calibri" w:hAnsi="Calibri" w:cs="Arial"/>
                <w:sz w:val="16"/>
                <w:szCs w:val="16"/>
                <w:lang w:eastAsia="en-GB"/>
              </w:rPr>
            </w:pPr>
            <w:r>
              <w:rPr>
                <w:rFonts w:ascii="Calibri" w:hAnsi="Calibri" w:cs="Arial"/>
                <w:sz w:val="16"/>
                <w:szCs w:val="16"/>
                <w:lang w:eastAsia="en-GB"/>
              </w:rPr>
              <w:t>Creative</w:t>
            </w:r>
          </w:p>
        </w:tc>
        <w:tc>
          <w:tcPr>
            <w:tcW w:w="1276" w:type="dxa"/>
            <w:tcBorders>
              <w:top w:val="nil"/>
              <w:left w:val="nil"/>
              <w:bottom w:val="single" w:sz="4" w:space="0" w:color="auto"/>
              <w:right w:val="nil"/>
            </w:tcBorders>
            <w:shd w:val="clear" w:color="000000" w:fill="FFFFFF"/>
            <w:vAlign w:val="center"/>
            <w:hideMark/>
          </w:tcPr>
          <w:p w14:paraId="3F8A55C0"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837 </w:t>
            </w:r>
          </w:p>
        </w:tc>
        <w:tc>
          <w:tcPr>
            <w:tcW w:w="280" w:type="dxa"/>
            <w:tcBorders>
              <w:top w:val="nil"/>
              <w:left w:val="nil"/>
              <w:bottom w:val="nil"/>
              <w:right w:val="nil"/>
            </w:tcBorders>
            <w:shd w:val="clear" w:color="000000" w:fill="FFFFFF"/>
            <w:vAlign w:val="center"/>
            <w:hideMark/>
          </w:tcPr>
          <w:p w14:paraId="39086FF5"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single" w:sz="4" w:space="0" w:color="auto"/>
              <w:right w:val="nil"/>
            </w:tcBorders>
            <w:shd w:val="clear" w:color="000000" w:fill="FFFFFF"/>
            <w:vAlign w:val="center"/>
            <w:hideMark/>
          </w:tcPr>
          <w:p w14:paraId="13BBCF3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920 </w:t>
            </w:r>
          </w:p>
        </w:tc>
        <w:tc>
          <w:tcPr>
            <w:tcW w:w="432" w:type="dxa"/>
            <w:tcBorders>
              <w:top w:val="nil"/>
              <w:left w:val="nil"/>
              <w:bottom w:val="nil"/>
              <w:right w:val="nil"/>
            </w:tcBorders>
            <w:shd w:val="clear" w:color="000000" w:fill="FFFFFF"/>
            <w:vAlign w:val="center"/>
            <w:hideMark/>
          </w:tcPr>
          <w:p w14:paraId="270A2AB5"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single" w:sz="4" w:space="0" w:color="auto"/>
              <w:right w:val="nil"/>
            </w:tcBorders>
            <w:shd w:val="clear" w:color="000000" w:fill="FFFFFF"/>
            <w:vAlign w:val="center"/>
            <w:hideMark/>
          </w:tcPr>
          <w:p w14:paraId="4C152989"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1,844 </w:t>
            </w:r>
          </w:p>
        </w:tc>
      </w:tr>
      <w:tr w:rsidR="00D373EF" w:rsidRPr="00D373EF" w14:paraId="621129BD" w14:textId="77777777" w:rsidTr="00D373EF">
        <w:trPr>
          <w:trHeight w:val="225"/>
        </w:trPr>
        <w:tc>
          <w:tcPr>
            <w:tcW w:w="5260" w:type="dxa"/>
            <w:tcBorders>
              <w:top w:val="nil"/>
              <w:left w:val="nil"/>
              <w:bottom w:val="nil"/>
              <w:right w:val="nil"/>
            </w:tcBorders>
            <w:shd w:val="clear" w:color="000000" w:fill="FFFFFF"/>
            <w:noWrap/>
            <w:vAlign w:val="center"/>
            <w:hideMark/>
          </w:tcPr>
          <w:p w14:paraId="5D9DDF91" w14:textId="77777777" w:rsidR="00D373EF" w:rsidRPr="00D373EF" w:rsidRDefault="00D373EF" w:rsidP="00D373EF">
            <w:pPr>
              <w:spacing w:after="0"/>
              <w:rPr>
                <w:rFonts w:ascii="Calibri" w:hAnsi="Calibri" w:cs="Arial"/>
                <w:b/>
                <w:bCs/>
                <w:sz w:val="16"/>
                <w:szCs w:val="16"/>
                <w:lang w:eastAsia="en-GB"/>
              </w:rPr>
            </w:pPr>
            <w:r w:rsidRPr="00D373EF">
              <w:rPr>
                <w:rFonts w:ascii="Calibri" w:hAnsi="Calibri" w:cs="Arial"/>
                <w:b/>
                <w:bCs/>
                <w:sz w:val="16"/>
                <w:szCs w:val="16"/>
                <w:lang w:eastAsia="en-GB"/>
              </w:rPr>
              <w:t>Total</w:t>
            </w:r>
          </w:p>
        </w:tc>
        <w:tc>
          <w:tcPr>
            <w:tcW w:w="1276" w:type="dxa"/>
            <w:tcBorders>
              <w:top w:val="nil"/>
              <w:left w:val="nil"/>
              <w:bottom w:val="nil"/>
              <w:right w:val="nil"/>
            </w:tcBorders>
            <w:shd w:val="clear" w:color="000000" w:fill="FFFFFF"/>
            <w:vAlign w:val="center"/>
            <w:hideMark/>
          </w:tcPr>
          <w:p w14:paraId="0C96A4B5"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5,247 </w:t>
            </w:r>
          </w:p>
        </w:tc>
        <w:tc>
          <w:tcPr>
            <w:tcW w:w="280" w:type="dxa"/>
            <w:tcBorders>
              <w:top w:val="nil"/>
              <w:left w:val="nil"/>
              <w:bottom w:val="nil"/>
              <w:right w:val="nil"/>
            </w:tcBorders>
            <w:shd w:val="clear" w:color="000000" w:fill="FFFFFF"/>
            <w:vAlign w:val="center"/>
            <w:hideMark/>
          </w:tcPr>
          <w:p w14:paraId="0A395DD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55D2C445"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5,153 </w:t>
            </w:r>
          </w:p>
        </w:tc>
        <w:tc>
          <w:tcPr>
            <w:tcW w:w="432" w:type="dxa"/>
            <w:tcBorders>
              <w:top w:val="nil"/>
              <w:left w:val="nil"/>
              <w:bottom w:val="nil"/>
              <w:right w:val="nil"/>
            </w:tcBorders>
            <w:shd w:val="clear" w:color="000000" w:fill="FFFFFF"/>
            <w:vAlign w:val="center"/>
            <w:hideMark/>
          </w:tcPr>
          <w:p w14:paraId="11C074D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1F502E69"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10,365 </w:t>
            </w:r>
          </w:p>
        </w:tc>
      </w:tr>
      <w:tr w:rsidR="00D373EF" w:rsidRPr="00D373EF" w14:paraId="16D55B18" w14:textId="77777777" w:rsidTr="00D373EF">
        <w:trPr>
          <w:trHeight w:val="225"/>
        </w:trPr>
        <w:tc>
          <w:tcPr>
            <w:tcW w:w="5260" w:type="dxa"/>
            <w:tcBorders>
              <w:top w:val="nil"/>
              <w:left w:val="nil"/>
              <w:bottom w:val="nil"/>
              <w:right w:val="nil"/>
            </w:tcBorders>
            <w:shd w:val="clear" w:color="000000" w:fill="FFFFFF"/>
            <w:noWrap/>
            <w:vAlign w:val="center"/>
            <w:hideMark/>
          </w:tcPr>
          <w:p w14:paraId="477B2F52"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276" w:type="dxa"/>
            <w:tcBorders>
              <w:top w:val="nil"/>
              <w:left w:val="nil"/>
              <w:bottom w:val="nil"/>
              <w:right w:val="nil"/>
            </w:tcBorders>
            <w:shd w:val="clear" w:color="000000" w:fill="FFFFFF"/>
            <w:vAlign w:val="center"/>
            <w:hideMark/>
          </w:tcPr>
          <w:p w14:paraId="5BD339B3"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w:t>
            </w:r>
          </w:p>
        </w:tc>
        <w:tc>
          <w:tcPr>
            <w:tcW w:w="280" w:type="dxa"/>
            <w:tcBorders>
              <w:top w:val="nil"/>
              <w:left w:val="nil"/>
              <w:bottom w:val="nil"/>
              <w:right w:val="nil"/>
            </w:tcBorders>
            <w:shd w:val="clear" w:color="000000" w:fill="FFFFFF"/>
            <w:vAlign w:val="center"/>
            <w:hideMark/>
          </w:tcPr>
          <w:p w14:paraId="51596ADB"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6E6543CC"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432" w:type="dxa"/>
            <w:tcBorders>
              <w:top w:val="nil"/>
              <w:left w:val="nil"/>
              <w:bottom w:val="nil"/>
              <w:right w:val="nil"/>
            </w:tcBorders>
            <w:shd w:val="clear" w:color="000000" w:fill="FFFFFF"/>
            <w:vAlign w:val="center"/>
            <w:hideMark/>
          </w:tcPr>
          <w:p w14:paraId="3DE6ED0F"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5F212D57"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r>
      <w:tr w:rsidR="00D373EF" w:rsidRPr="00D373EF" w14:paraId="6E20964E" w14:textId="77777777" w:rsidTr="00D373EF">
        <w:trPr>
          <w:trHeight w:val="225"/>
        </w:trPr>
        <w:tc>
          <w:tcPr>
            <w:tcW w:w="5260" w:type="dxa"/>
            <w:tcBorders>
              <w:top w:val="nil"/>
              <w:left w:val="nil"/>
              <w:bottom w:val="nil"/>
              <w:right w:val="nil"/>
            </w:tcBorders>
            <w:shd w:val="clear" w:color="000000" w:fill="FFFFFF"/>
            <w:noWrap/>
            <w:vAlign w:val="center"/>
            <w:hideMark/>
          </w:tcPr>
          <w:p w14:paraId="12145E32" w14:textId="77777777" w:rsidR="00D373EF" w:rsidRPr="00D373EF" w:rsidRDefault="00D373EF" w:rsidP="00D373EF">
            <w:pPr>
              <w:spacing w:after="0"/>
              <w:rPr>
                <w:rFonts w:ascii="Calibri" w:hAnsi="Calibri" w:cs="Arial"/>
                <w:b/>
                <w:bCs/>
                <w:sz w:val="16"/>
                <w:szCs w:val="16"/>
                <w:lang w:eastAsia="en-GB"/>
              </w:rPr>
            </w:pPr>
            <w:r w:rsidRPr="00D373EF">
              <w:rPr>
                <w:rFonts w:ascii="Calibri" w:hAnsi="Calibri" w:cs="Arial"/>
                <w:b/>
                <w:bCs/>
                <w:sz w:val="16"/>
                <w:szCs w:val="16"/>
                <w:lang w:eastAsia="en-GB"/>
              </w:rPr>
              <w:t>Operating profit/(loss)</w:t>
            </w:r>
          </w:p>
        </w:tc>
        <w:tc>
          <w:tcPr>
            <w:tcW w:w="1276" w:type="dxa"/>
            <w:tcBorders>
              <w:top w:val="nil"/>
              <w:left w:val="nil"/>
              <w:bottom w:val="nil"/>
              <w:right w:val="nil"/>
            </w:tcBorders>
            <w:shd w:val="clear" w:color="000000" w:fill="FFFFFF"/>
            <w:vAlign w:val="center"/>
            <w:hideMark/>
          </w:tcPr>
          <w:p w14:paraId="326E59AA"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w:t>
            </w:r>
          </w:p>
        </w:tc>
        <w:tc>
          <w:tcPr>
            <w:tcW w:w="280" w:type="dxa"/>
            <w:tcBorders>
              <w:top w:val="nil"/>
              <w:left w:val="nil"/>
              <w:bottom w:val="nil"/>
              <w:right w:val="nil"/>
            </w:tcBorders>
            <w:shd w:val="clear" w:color="000000" w:fill="FFFFFF"/>
            <w:vAlign w:val="center"/>
            <w:hideMark/>
          </w:tcPr>
          <w:p w14:paraId="4E729CC2"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1DF49BB1"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432" w:type="dxa"/>
            <w:tcBorders>
              <w:top w:val="nil"/>
              <w:left w:val="nil"/>
              <w:bottom w:val="nil"/>
              <w:right w:val="nil"/>
            </w:tcBorders>
            <w:shd w:val="clear" w:color="000000" w:fill="FFFFFF"/>
            <w:vAlign w:val="center"/>
            <w:hideMark/>
          </w:tcPr>
          <w:p w14:paraId="4C058747"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0B238E8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r>
      <w:tr w:rsidR="00D373EF" w:rsidRPr="00D373EF" w14:paraId="144A23B5" w14:textId="77777777" w:rsidTr="00D373EF">
        <w:trPr>
          <w:trHeight w:val="225"/>
        </w:trPr>
        <w:tc>
          <w:tcPr>
            <w:tcW w:w="5260" w:type="dxa"/>
            <w:tcBorders>
              <w:top w:val="nil"/>
              <w:left w:val="nil"/>
              <w:bottom w:val="nil"/>
              <w:right w:val="nil"/>
            </w:tcBorders>
            <w:shd w:val="clear" w:color="000000" w:fill="FFFFFF"/>
            <w:noWrap/>
            <w:vAlign w:val="center"/>
            <w:hideMark/>
          </w:tcPr>
          <w:p w14:paraId="73331B6E"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Licensing</w:t>
            </w:r>
          </w:p>
        </w:tc>
        <w:tc>
          <w:tcPr>
            <w:tcW w:w="1276" w:type="dxa"/>
            <w:tcBorders>
              <w:top w:val="nil"/>
              <w:left w:val="nil"/>
              <w:bottom w:val="nil"/>
              <w:right w:val="nil"/>
            </w:tcBorders>
            <w:shd w:val="clear" w:color="000000" w:fill="FFFFFF"/>
            <w:vAlign w:val="center"/>
            <w:hideMark/>
          </w:tcPr>
          <w:p w14:paraId="0AB036C9"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2,771 </w:t>
            </w:r>
          </w:p>
        </w:tc>
        <w:tc>
          <w:tcPr>
            <w:tcW w:w="280" w:type="dxa"/>
            <w:tcBorders>
              <w:top w:val="nil"/>
              <w:left w:val="nil"/>
              <w:bottom w:val="nil"/>
              <w:right w:val="nil"/>
            </w:tcBorders>
            <w:shd w:val="clear" w:color="000000" w:fill="FFFFFF"/>
            <w:vAlign w:val="center"/>
            <w:hideMark/>
          </w:tcPr>
          <w:p w14:paraId="25327F2F"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1D45F077"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2,798 </w:t>
            </w:r>
          </w:p>
        </w:tc>
        <w:tc>
          <w:tcPr>
            <w:tcW w:w="432" w:type="dxa"/>
            <w:tcBorders>
              <w:top w:val="nil"/>
              <w:left w:val="nil"/>
              <w:bottom w:val="nil"/>
              <w:right w:val="nil"/>
            </w:tcBorders>
            <w:shd w:val="clear" w:color="000000" w:fill="FFFFFF"/>
            <w:vAlign w:val="center"/>
            <w:hideMark/>
          </w:tcPr>
          <w:p w14:paraId="1F26B629"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2B270DD3"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5,923 </w:t>
            </w:r>
          </w:p>
        </w:tc>
      </w:tr>
      <w:tr w:rsidR="00D373EF" w:rsidRPr="00D373EF" w14:paraId="69A8AC42" w14:textId="77777777" w:rsidTr="00D373EF">
        <w:trPr>
          <w:trHeight w:val="225"/>
        </w:trPr>
        <w:tc>
          <w:tcPr>
            <w:tcW w:w="5260" w:type="dxa"/>
            <w:tcBorders>
              <w:top w:val="nil"/>
              <w:left w:val="nil"/>
              <w:bottom w:val="nil"/>
              <w:right w:val="nil"/>
            </w:tcBorders>
            <w:shd w:val="clear" w:color="000000" w:fill="FFFFFF"/>
            <w:noWrap/>
            <w:vAlign w:val="center"/>
            <w:hideMark/>
          </w:tcPr>
          <w:p w14:paraId="7B48983D"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Content</w:t>
            </w:r>
          </w:p>
        </w:tc>
        <w:tc>
          <w:tcPr>
            <w:tcW w:w="1276" w:type="dxa"/>
            <w:tcBorders>
              <w:top w:val="nil"/>
              <w:left w:val="nil"/>
              <w:bottom w:val="nil"/>
              <w:right w:val="nil"/>
            </w:tcBorders>
            <w:shd w:val="clear" w:color="000000" w:fill="FFFFFF"/>
            <w:vAlign w:val="center"/>
            <w:hideMark/>
          </w:tcPr>
          <w:p w14:paraId="2B0552EC"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127 </w:t>
            </w:r>
          </w:p>
        </w:tc>
        <w:tc>
          <w:tcPr>
            <w:tcW w:w="280" w:type="dxa"/>
            <w:tcBorders>
              <w:top w:val="nil"/>
              <w:left w:val="nil"/>
              <w:bottom w:val="nil"/>
              <w:right w:val="nil"/>
            </w:tcBorders>
            <w:shd w:val="clear" w:color="000000" w:fill="FFFFFF"/>
            <w:vAlign w:val="center"/>
            <w:hideMark/>
          </w:tcPr>
          <w:p w14:paraId="064AFDD5"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05F87C8B"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49 </w:t>
            </w:r>
          </w:p>
        </w:tc>
        <w:tc>
          <w:tcPr>
            <w:tcW w:w="432" w:type="dxa"/>
            <w:tcBorders>
              <w:top w:val="nil"/>
              <w:left w:val="nil"/>
              <w:bottom w:val="nil"/>
              <w:right w:val="nil"/>
            </w:tcBorders>
            <w:shd w:val="clear" w:color="000000" w:fill="FFFFFF"/>
            <w:vAlign w:val="center"/>
            <w:hideMark/>
          </w:tcPr>
          <w:p w14:paraId="28CEA1C3"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1A207156"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215 </w:t>
            </w:r>
          </w:p>
        </w:tc>
      </w:tr>
      <w:tr w:rsidR="00EE53DB" w:rsidRPr="00D373EF" w14:paraId="58660EC8" w14:textId="77777777" w:rsidTr="00EE53DB">
        <w:trPr>
          <w:trHeight w:val="225"/>
        </w:trPr>
        <w:tc>
          <w:tcPr>
            <w:tcW w:w="5260" w:type="dxa"/>
            <w:tcBorders>
              <w:top w:val="nil"/>
              <w:left w:val="nil"/>
              <w:bottom w:val="nil"/>
              <w:right w:val="nil"/>
            </w:tcBorders>
            <w:shd w:val="clear" w:color="000000" w:fill="FFFFFF"/>
            <w:noWrap/>
            <w:vAlign w:val="center"/>
            <w:hideMark/>
          </w:tcPr>
          <w:p w14:paraId="2EFE5ED7" w14:textId="304D21F1" w:rsidR="00EE53DB" w:rsidRPr="00D373EF" w:rsidRDefault="003A3914" w:rsidP="00EE53DB">
            <w:pPr>
              <w:spacing w:after="0"/>
              <w:rPr>
                <w:rFonts w:ascii="Calibri" w:hAnsi="Calibri" w:cs="Arial"/>
                <w:sz w:val="16"/>
                <w:szCs w:val="16"/>
                <w:lang w:eastAsia="en-GB"/>
              </w:rPr>
            </w:pPr>
            <w:r>
              <w:rPr>
                <w:rFonts w:ascii="Calibri" w:hAnsi="Calibri" w:cs="Arial"/>
                <w:sz w:val="16"/>
                <w:szCs w:val="16"/>
                <w:lang w:eastAsia="en-GB"/>
              </w:rPr>
              <w:t>Creative</w:t>
            </w:r>
          </w:p>
        </w:tc>
        <w:tc>
          <w:tcPr>
            <w:tcW w:w="1276" w:type="dxa"/>
            <w:tcBorders>
              <w:top w:val="nil"/>
              <w:left w:val="nil"/>
              <w:bottom w:val="nil"/>
              <w:right w:val="nil"/>
            </w:tcBorders>
            <w:shd w:val="clear" w:color="000000" w:fill="FFFFFF"/>
            <w:vAlign w:val="center"/>
            <w:hideMark/>
          </w:tcPr>
          <w:p w14:paraId="6F89212A" w14:textId="77777777" w:rsidR="00EE53DB" w:rsidRPr="00D373EF" w:rsidRDefault="00EE53DB" w:rsidP="00EE53DB">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423 </w:t>
            </w:r>
          </w:p>
        </w:tc>
        <w:tc>
          <w:tcPr>
            <w:tcW w:w="280" w:type="dxa"/>
            <w:tcBorders>
              <w:top w:val="nil"/>
              <w:left w:val="nil"/>
              <w:bottom w:val="nil"/>
              <w:right w:val="nil"/>
            </w:tcBorders>
            <w:shd w:val="clear" w:color="000000" w:fill="FFFFFF"/>
            <w:vAlign w:val="center"/>
            <w:hideMark/>
          </w:tcPr>
          <w:p w14:paraId="7ACA37E6" w14:textId="77777777" w:rsidR="00EE53DB" w:rsidRPr="00D373EF" w:rsidRDefault="00EE53DB" w:rsidP="00EE53DB">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3ACF6545" w14:textId="77777777" w:rsidR="00EE53DB" w:rsidRPr="00D373EF" w:rsidRDefault="00EE53DB" w:rsidP="00EE53DB">
            <w:pPr>
              <w:spacing w:after="0"/>
              <w:jc w:val="right"/>
              <w:rPr>
                <w:rFonts w:ascii="Calibri" w:hAnsi="Calibri" w:cs="Arial"/>
                <w:sz w:val="16"/>
                <w:szCs w:val="16"/>
                <w:lang w:eastAsia="en-GB"/>
              </w:rPr>
            </w:pPr>
            <w:r w:rsidRPr="00D373EF">
              <w:rPr>
                <w:rFonts w:ascii="Calibri" w:hAnsi="Calibri" w:cs="Arial"/>
                <w:sz w:val="16"/>
                <w:szCs w:val="16"/>
                <w:lang w:eastAsia="en-GB"/>
              </w:rPr>
              <w:t xml:space="preserve">469 </w:t>
            </w:r>
          </w:p>
        </w:tc>
        <w:tc>
          <w:tcPr>
            <w:tcW w:w="432" w:type="dxa"/>
            <w:tcBorders>
              <w:top w:val="nil"/>
              <w:left w:val="nil"/>
              <w:bottom w:val="nil"/>
              <w:right w:val="nil"/>
            </w:tcBorders>
            <w:shd w:val="clear" w:color="000000" w:fill="FFFFFF"/>
            <w:vAlign w:val="center"/>
            <w:hideMark/>
          </w:tcPr>
          <w:p w14:paraId="416CE581" w14:textId="77777777" w:rsidR="00EE53DB" w:rsidRPr="00D373EF" w:rsidRDefault="00EE53DB" w:rsidP="00EE53DB">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09AD4CC0" w14:textId="77777777" w:rsidR="00EE53DB" w:rsidRPr="00D373EF" w:rsidRDefault="00EE53DB" w:rsidP="00EE53DB">
            <w:pPr>
              <w:spacing w:after="0"/>
              <w:jc w:val="right"/>
              <w:rPr>
                <w:rFonts w:ascii="Calibri" w:hAnsi="Calibri" w:cs="Arial"/>
                <w:sz w:val="16"/>
                <w:szCs w:val="16"/>
                <w:lang w:eastAsia="en-GB"/>
              </w:rPr>
            </w:pPr>
            <w:r w:rsidRPr="00D373EF">
              <w:rPr>
                <w:rFonts w:ascii="Calibri" w:hAnsi="Calibri" w:cs="Arial"/>
                <w:sz w:val="16"/>
                <w:szCs w:val="16"/>
                <w:lang w:eastAsia="en-GB"/>
              </w:rPr>
              <w:t xml:space="preserve">918 </w:t>
            </w:r>
          </w:p>
        </w:tc>
      </w:tr>
      <w:tr w:rsidR="00D373EF" w:rsidRPr="00D373EF" w14:paraId="504664BC" w14:textId="77777777" w:rsidTr="00D373EF">
        <w:trPr>
          <w:trHeight w:val="225"/>
        </w:trPr>
        <w:tc>
          <w:tcPr>
            <w:tcW w:w="5260" w:type="dxa"/>
            <w:tcBorders>
              <w:top w:val="nil"/>
              <w:left w:val="nil"/>
              <w:bottom w:val="nil"/>
              <w:right w:val="nil"/>
            </w:tcBorders>
            <w:shd w:val="clear" w:color="000000" w:fill="FFFFFF"/>
            <w:noWrap/>
            <w:vAlign w:val="center"/>
            <w:hideMark/>
          </w:tcPr>
          <w:p w14:paraId="06E54CC7" w14:textId="52B0094C" w:rsidR="00D373EF" w:rsidRPr="00D373EF" w:rsidRDefault="00EE53DB" w:rsidP="00D373EF">
            <w:pPr>
              <w:spacing w:after="0"/>
              <w:rPr>
                <w:rFonts w:ascii="Calibri" w:hAnsi="Calibri" w:cs="Arial"/>
                <w:sz w:val="16"/>
                <w:szCs w:val="16"/>
                <w:lang w:eastAsia="en-GB"/>
              </w:rPr>
            </w:pPr>
            <w:r>
              <w:rPr>
                <w:rFonts w:ascii="Calibri" w:hAnsi="Calibri" w:cs="Arial"/>
                <w:sz w:val="16"/>
                <w:szCs w:val="16"/>
                <w:lang w:eastAsia="en-GB"/>
              </w:rPr>
              <w:t>Other income</w:t>
            </w:r>
          </w:p>
        </w:tc>
        <w:tc>
          <w:tcPr>
            <w:tcW w:w="1276" w:type="dxa"/>
            <w:tcBorders>
              <w:top w:val="nil"/>
              <w:left w:val="nil"/>
              <w:bottom w:val="nil"/>
              <w:right w:val="nil"/>
            </w:tcBorders>
            <w:shd w:val="clear" w:color="000000" w:fill="FFFFFF"/>
            <w:vAlign w:val="center"/>
            <w:hideMark/>
          </w:tcPr>
          <w:p w14:paraId="25BF17E1" w14:textId="46617C14" w:rsidR="00D373EF" w:rsidRPr="00D373EF" w:rsidRDefault="00EE53DB" w:rsidP="00EE53DB">
            <w:pPr>
              <w:spacing w:after="0"/>
              <w:jc w:val="right"/>
              <w:rPr>
                <w:rFonts w:ascii="Calibri" w:hAnsi="Calibri" w:cs="Arial"/>
                <w:b/>
                <w:bCs/>
                <w:sz w:val="16"/>
                <w:szCs w:val="16"/>
                <w:lang w:eastAsia="en-GB"/>
              </w:rPr>
            </w:pPr>
            <w:r>
              <w:rPr>
                <w:rFonts w:ascii="Calibri" w:hAnsi="Calibri" w:cs="Arial"/>
                <w:b/>
                <w:bCs/>
                <w:sz w:val="16"/>
                <w:szCs w:val="16"/>
                <w:lang w:eastAsia="en-GB"/>
              </w:rPr>
              <w:t>250</w:t>
            </w:r>
            <w:r w:rsidRPr="00D373EF">
              <w:rPr>
                <w:rFonts w:ascii="Calibri" w:hAnsi="Calibri" w:cs="Arial"/>
                <w:b/>
                <w:bCs/>
                <w:sz w:val="16"/>
                <w:szCs w:val="16"/>
                <w:lang w:eastAsia="en-GB"/>
              </w:rPr>
              <w:t xml:space="preserve"> </w:t>
            </w:r>
          </w:p>
        </w:tc>
        <w:tc>
          <w:tcPr>
            <w:tcW w:w="280" w:type="dxa"/>
            <w:tcBorders>
              <w:top w:val="nil"/>
              <w:left w:val="nil"/>
              <w:bottom w:val="nil"/>
              <w:right w:val="nil"/>
            </w:tcBorders>
            <w:shd w:val="clear" w:color="000000" w:fill="FFFFFF"/>
            <w:vAlign w:val="center"/>
            <w:hideMark/>
          </w:tcPr>
          <w:p w14:paraId="2F03E550"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4380E7FB" w14:textId="24E1F272" w:rsidR="00D373EF" w:rsidRPr="00D373EF" w:rsidRDefault="00EE53DB" w:rsidP="00D373EF">
            <w:pPr>
              <w:spacing w:after="0"/>
              <w:jc w:val="right"/>
              <w:rPr>
                <w:rFonts w:ascii="Calibri" w:hAnsi="Calibri" w:cs="Arial"/>
                <w:sz w:val="16"/>
                <w:szCs w:val="16"/>
                <w:lang w:eastAsia="en-GB"/>
              </w:rPr>
            </w:pPr>
            <w:r>
              <w:rPr>
                <w:rFonts w:ascii="Calibri" w:hAnsi="Calibri" w:cs="Arial"/>
                <w:sz w:val="16"/>
                <w:szCs w:val="16"/>
                <w:lang w:eastAsia="en-GB"/>
              </w:rPr>
              <w:t>455</w:t>
            </w:r>
            <w:r w:rsidRPr="00D373EF">
              <w:rPr>
                <w:rFonts w:ascii="Calibri" w:hAnsi="Calibri" w:cs="Arial"/>
                <w:sz w:val="16"/>
                <w:szCs w:val="16"/>
                <w:lang w:eastAsia="en-GB"/>
              </w:rPr>
              <w:t xml:space="preserve"> </w:t>
            </w:r>
          </w:p>
        </w:tc>
        <w:tc>
          <w:tcPr>
            <w:tcW w:w="432" w:type="dxa"/>
            <w:tcBorders>
              <w:top w:val="nil"/>
              <w:left w:val="nil"/>
              <w:bottom w:val="nil"/>
              <w:right w:val="nil"/>
            </w:tcBorders>
            <w:shd w:val="clear" w:color="000000" w:fill="FFFFFF"/>
            <w:vAlign w:val="center"/>
            <w:hideMark/>
          </w:tcPr>
          <w:p w14:paraId="435071AF"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002616D4" w14:textId="0B1EB777" w:rsidR="00D373EF" w:rsidRPr="00D373EF" w:rsidRDefault="00EE53DB" w:rsidP="00D373EF">
            <w:pPr>
              <w:spacing w:after="0"/>
              <w:jc w:val="right"/>
              <w:rPr>
                <w:rFonts w:ascii="Calibri" w:hAnsi="Calibri" w:cs="Arial"/>
                <w:sz w:val="16"/>
                <w:szCs w:val="16"/>
                <w:lang w:eastAsia="en-GB"/>
              </w:rPr>
            </w:pPr>
            <w:r>
              <w:rPr>
                <w:rFonts w:ascii="Calibri" w:hAnsi="Calibri" w:cs="Arial"/>
                <w:sz w:val="16"/>
                <w:szCs w:val="16"/>
                <w:lang w:eastAsia="en-GB"/>
              </w:rPr>
              <w:t>1,040</w:t>
            </w:r>
          </w:p>
        </w:tc>
      </w:tr>
      <w:tr w:rsidR="00D373EF" w:rsidRPr="00D373EF" w14:paraId="470792A8" w14:textId="77777777" w:rsidTr="00D373EF">
        <w:trPr>
          <w:trHeight w:val="225"/>
        </w:trPr>
        <w:tc>
          <w:tcPr>
            <w:tcW w:w="5260" w:type="dxa"/>
            <w:tcBorders>
              <w:top w:val="nil"/>
              <w:left w:val="nil"/>
              <w:bottom w:val="nil"/>
              <w:right w:val="nil"/>
            </w:tcBorders>
            <w:shd w:val="clear" w:color="000000" w:fill="FFFFFF"/>
            <w:noWrap/>
            <w:vAlign w:val="center"/>
            <w:hideMark/>
          </w:tcPr>
          <w:p w14:paraId="37935019"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Unallocated</w:t>
            </w:r>
          </w:p>
        </w:tc>
        <w:tc>
          <w:tcPr>
            <w:tcW w:w="1276" w:type="dxa"/>
            <w:tcBorders>
              <w:top w:val="nil"/>
              <w:left w:val="nil"/>
              <w:bottom w:val="single" w:sz="4" w:space="0" w:color="auto"/>
              <w:right w:val="nil"/>
            </w:tcBorders>
            <w:shd w:val="clear" w:color="000000" w:fill="FFFFFF"/>
            <w:vAlign w:val="center"/>
            <w:hideMark/>
          </w:tcPr>
          <w:p w14:paraId="2974A21B" w14:textId="3470FE9D" w:rsidR="00D373EF" w:rsidRPr="00D373EF" w:rsidRDefault="00D373EF" w:rsidP="00EE53DB">
            <w:pPr>
              <w:spacing w:after="0"/>
              <w:jc w:val="right"/>
              <w:rPr>
                <w:rFonts w:ascii="Calibri" w:hAnsi="Calibri" w:cs="Arial"/>
                <w:b/>
                <w:bCs/>
                <w:sz w:val="16"/>
                <w:szCs w:val="16"/>
                <w:lang w:eastAsia="en-GB"/>
              </w:rPr>
            </w:pPr>
            <w:r w:rsidRPr="00D373EF">
              <w:rPr>
                <w:rFonts w:ascii="Calibri" w:hAnsi="Calibri" w:cs="Arial"/>
                <w:b/>
                <w:bCs/>
                <w:sz w:val="16"/>
                <w:szCs w:val="16"/>
                <w:lang w:eastAsia="en-GB"/>
              </w:rPr>
              <w:t>(6,</w:t>
            </w:r>
            <w:r w:rsidR="00EE53DB">
              <w:rPr>
                <w:rFonts w:ascii="Calibri" w:hAnsi="Calibri" w:cs="Arial"/>
                <w:b/>
                <w:bCs/>
                <w:sz w:val="16"/>
                <w:szCs w:val="16"/>
                <w:lang w:eastAsia="en-GB"/>
              </w:rPr>
              <w:t>946</w:t>
            </w:r>
            <w:r w:rsidRPr="00D373EF">
              <w:rPr>
                <w:rFonts w:ascii="Calibri" w:hAnsi="Calibri" w:cs="Arial"/>
                <w:b/>
                <w:bCs/>
                <w:sz w:val="16"/>
                <w:szCs w:val="16"/>
                <w:lang w:eastAsia="en-GB"/>
              </w:rPr>
              <w:t>)</w:t>
            </w:r>
          </w:p>
        </w:tc>
        <w:tc>
          <w:tcPr>
            <w:tcW w:w="280" w:type="dxa"/>
            <w:tcBorders>
              <w:top w:val="nil"/>
              <w:left w:val="nil"/>
              <w:bottom w:val="nil"/>
              <w:right w:val="nil"/>
            </w:tcBorders>
            <w:shd w:val="clear" w:color="000000" w:fill="FFFFFF"/>
            <w:vAlign w:val="center"/>
            <w:hideMark/>
          </w:tcPr>
          <w:p w14:paraId="7A7BA32C"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single" w:sz="4" w:space="0" w:color="auto"/>
              <w:right w:val="nil"/>
            </w:tcBorders>
            <w:shd w:val="clear" w:color="000000" w:fill="FFFFFF"/>
            <w:vAlign w:val="center"/>
            <w:hideMark/>
          </w:tcPr>
          <w:p w14:paraId="742FC61E"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(5,613)</w:t>
            </w:r>
          </w:p>
        </w:tc>
        <w:tc>
          <w:tcPr>
            <w:tcW w:w="432" w:type="dxa"/>
            <w:tcBorders>
              <w:top w:val="nil"/>
              <w:left w:val="nil"/>
              <w:bottom w:val="nil"/>
              <w:right w:val="nil"/>
            </w:tcBorders>
            <w:shd w:val="clear" w:color="000000" w:fill="FFFFFF"/>
            <w:vAlign w:val="center"/>
            <w:hideMark/>
          </w:tcPr>
          <w:p w14:paraId="67D065E8"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single" w:sz="4" w:space="0" w:color="auto"/>
              <w:right w:val="nil"/>
            </w:tcBorders>
            <w:shd w:val="clear" w:color="000000" w:fill="FFFFFF"/>
            <w:vAlign w:val="center"/>
            <w:hideMark/>
          </w:tcPr>
          <w:p w14:paraId="40E25C9C"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(11,251)</w:t>
            </w:r>
          </w:p>
        </w:tc>
      </w:tr>
      <w:tr w:rsidR="00D373EF" w:rsidRPr="00D373EF" w14:paraId="13394288" w14:textId="77777777" w:rsidTr="00D373EF">
        <w:trPr>
          <w:trHeight w:val="225"/>
        </w:trPr>
        <w:tc>
          <w:tcPr>
            <w:tcW w:w="5260" w:type="dxa"/>
            <w:tcBorders>
              <w:top w:val="nil"/>
              <w:left w:val="nil"/>
              <w:bottom w:val="nil"/>
              <w:right w:val="nil"/>
            </w:tcBorders>
            <w:shd w:val="clear" w:color="000000" w:fill="FFFFFF"/>
            <w:noWrap/>
            <w:vAlign w:val="center"/>
            <w:hideMark/>
          </w:tcPr>
          <w:p w14:paraId="08920389" w14:textId="77777777" w:rsidR="00D373EF" w:rsidRPr="00D373EF" w:rsidRDefault="00D373EF" w:rsidP="00D373EF">
            <w:pPr>
              <w:spacing w:after="0"/>
              <w:rPr>
                <w:rFonts w:ascii="Calibri" w:hAnsi="Calibri" w:cs="Arial"/>
                <w:b/>
                <w:bCs/>
                <w:sz w:val="16"/>
                <w:szCs w:val="16"/>
                <w:lang w:eastAsia="en-GB"/>
              </w:rPr>
            </w:pPr>
            <w:r w:rsidRPr="00D373EF">
              <w:rPr>
                <w:rFonts w:ascii="Calibri" w:hAnsi="Calibri" w:cs="Arial"/>
                <w:b/>
                <w:bCs/>
                <w:sz w:val="16"/>
                <w:szCs w:val="16"/>
                <w:lang w:eastAsia="en-GB"/>
              </w:rPr>
              <w:t>Total</w:t>
            </w:r>
          </w:p>
        </w:tc>
        <w:tc>
          <w:tcPr>
            <w:tcW w:w="1276" w:type="dxa"/>
            <w:tcBorders>
              <w:top w:val="nil"/>
              <w:left w:val="nil"/>
              <w:bottom w:val="nil"/>
              <w:right w:val="nil"/>
            </w:tcBorders>
            <w:shd w:val="clear" w:color="000000" w:fill="FFFFFF"/>
            <w:vAlign w:val="center"/>
            <w:hideMark/>
          </w:tcPr>
          <w:p w14:paraId="649E63B4" w14:textId="6DE49138" w:rsidR="00D373EF" w:rsidRPr="00D373EF" w:rsidRDefault="00D373EF" w:rsidP="00EE53DB">
            <w:pPr>
              <w:spacing w:after="0"/>
              <w:jc w:val="right"/>
              <w:rPr>
                <w:rFonts w:ascii="Calibri" w:hAnsi="Calibri" w:cs="Arial"/>
                <w:b/>
                <w:bCs/>
                <w:sz w:val="16"/>
                <w:szCs w:val="16"/>
                <w:lang w:eastAsia="en-GB"/>
              </w:rPr>
            </w:pPr>
            <w:r w:rsidRPr="00D373EF">
              <w:rPr>
                <w:rFonts w:ascii="Calibri" w:hAnsi="Calibri" w:cs="Arial"/>
                <w:b/>
                <w:bCs/>
                <w:sz w:val="16"/>
                <w:szCs w:val="16"/>
                <w:lang w:eastAsia="en-GB"/>
              </w:rPr>
              <w:t>(</w:t>
            </w:r>
            <w:r w:rsidR="00EE53DB">
              <w:rPr>
                <w:rFonts w:ascii="Calibri" w:hAnsi="Calibri" w:cs="Arial"/>
                <w:b/>
                <w:bCs/>
                <w:sz w:val="16"/>
                <w:szCs w:val="16"/>
                <w:lang w:eastAsia="en-GB"/>
              </w:rPr>
              <w:t>3,375</w:t>
            </w:r>
            <w:r w:rsidRPr="00D373EF">
              <w:rPr>
                <w:rFonts w:ascii="Calibri" w:hAnsi="Calibri" w:cs="Arial"/>
                <w:b/>
                <w:bCs/>
                <w:sz w:val="16"/>
                <w:szCs w:val="16"/>
                <w:lang w:eastAsia="en-GB"/>
              </w:rPr>
              <w:t>)</w:t>
            </w:r>
          </w:p>
        </w:tc>
        <w:tc>
          <w:tcPr>
            <w:tcW w:w="280" w:type="dxa"/>
            <w:tcBorders>
              <w:top w:val="nil"/>
              <w:left w:val="nil"/>
              <w:bottom w:val="nil"/>
              <w:right w:val="nil"/>
            </w:tcBorders>
            <w:shd w:val="clear" w:color="000000" w:fill="FFFFFF"/>
            <w:vAlign w:val="center"/>
            <w:hideMark/>
          </w:tcPr>
          <w:p w14:paraId="2B63CE6D"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2EF303DD" w14:textId="74A3F66B" w:rsidR="00D373EF" w:rsidRPr="00D373EF" w:rsidRDefault="00D373EF" w:rsidP="00EE53DB">
            <w:pPr>
              <w:spacing w:after="0"/>
              <w:jc w:val="right"/>
              <w:rPr>
                <w:rFonts w:ascii="Calibri" w:hAnsi="Calibri" w:cs="Arial"/>
                <w:sz w:val="16"/>
                <w:szCs w:val="16"/>
                <w:lang w:eastAsia="en-GB"/>
              </w:rPr>
            </w:pPr>
            <w:r w:rsidRPr="00D373EF">
              <w:rPr>
                <w:rFonts w:ascii="Calibri" w:hAnsi="Calibri" w:cs="Arial"/>
                <w:sz w:val="16"/>
                <w:szCs w:val="16"/>
                <w:lang w:eastAsia="en-GB"/>
              </w:rPr>
              <w:t>(</w:t>
            </w:r>
            <w:r w:rsidR="00EE53DB">
              <w:rPr>
                <w:rFonts w:ascii="Calibri" w:hAnsi="Calibri" w:cs="Arial"/>
                <w:sz w:val="16"/>
                <w:szCs w:val="16"/>
                <w:lang w:eastAsia="en-GB"/>
              </w:rPr>
              <w:t>1,841</w:t>
            </w:r>
            <w:r w:rsidRPr="00D373EF">
              <w:rPr>
                <w:rFonts w:ascii="Calibri" w:hAnsi="Calibri" w:cs="Arial"/>
                <w:sz w:val="16"/>
                <w:szCs w:val="16"/>
                <w:lang w:eastAsia="en-GB"/>
              </w:rPr>
              <w:t>)</w:t>
            </w:r>
          </w:p>
        </w:tc>
        <w:tc>
          <w:tcPr>
            <w:tcW w:w="432" w:type="dxa"/>
            <w:tcBorders>
              <w:top w:val="nil"/>
              <w:left w:val="nil"/>
              <w:bottom w:val="nil"/>
              <w:right w:val="nil"/>
            </w:tcBorders>
            <w:shd w:val="clear" w:color="000000" w:fill="FFFFFF"/>
            <w:vAlign w:val="center"/>
            <w:hideMark/>
          </w:tcPr>
          <w:p w14:paraId="3BE80E13"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5070D21B" w14:textId="5131686C" w:rsidR="00D373EF" w:rsidRPr="00D373EF" w:rsidRDefault="00D373EF" w:rsidP="00EE53DB">
            <w:pPr>
              <w:spacing w:after="0"/>
              <w:jc w:val="right"/>
              <w:rPr>
                <w:rFonts w:ascii="Calibri" w:hAnsi="Calibri" w:cs="Arial"/>
                <w:sz w:val="16"/>
                <w:szCs w:val="16"/>
                <w:lang w:eastAsia="en-GB"/>
              </w:rPr>
            </w:pPr>
            <w:r w:rsidRPr="00D373EF">
              <w:rPr>
                <w:rFonts w:ascii="Calibri" w:hAnsi="Calibri" w:cs="Arial"/>
                <w:sz w:val="16"/>
                <w:szCs w:val="16"/>
                <w:lang w:eastAsia="en-GB"/>
              </w:rPr>
              <w:t>(</w:t>
            </w:r>
            <w:r w:rsidR="00EE53DB">
              <w:rPr>
                <w:rFonts w:ascii="Calibri" w:hAnsi="Calibri" w:cs="Arial"/>
                <w:sz w:val="16"/>
                <w:szCs w:val="16"/>
                <w:lang w:eastAsia="en-GB"/>
              </w:rPr>
              <w:t>3,154</w:t>
            </w:r>
            <w:r w:rsidRPr="00D373EF">
              <w:rPr>
                <w:rFonts w:ascii="Calibri" w:hAnsi="Calibri" w:cs="Arial"/>
                <w:sz w:val="16"/>
                <w:szCs w:val="16"/>
                <w:lang w:eastAsia="en-GB"/>
              </w:rPr>
              <w:t>)</w:t>
            </w:r>
          </w:p>
        </w:tc>
      </w:tr>
      <w:tr w:rsidR="00D373EF" w:rsidRPr="00D373EF" w14:paraId="5FC388B8" w14:textId="77777777" w:rsidTr="00D373EF">
        <w:trPr>
          <w:trHeight w:val="225"/>
        </w:trPr>
        <w:tc>
          <w:tcPr>
            <w:tcW w:w="5260" w:type="dxa"/>
            <w:tcBorders>
              <w:top w:val="nil"/>
              <w:left w:val="nil"/>
              <w:bottom w:val="nil"/>
              <w:right w:val="nil"/>
            </w:tcBorders>
            <w:shd w:val="clear" w:color="000000" w:fill="FFFFFF"/>
            <w:noWrap/>
            <w:vAlign w:val="center"/>
            <w:hideMark/>
          </w:tcPr>
          <w:p w14:paraId="16BA2464"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 </w:t>
            </w:r>
          </w:p>
        </w:tc>
        <w:tc>
          <w:tcPr>
            <w:tcW w:w="1276" w:type="dxa"/>
            <w:tcBorders>
              <w:top w:val="nil"/>
              <w:left w:val="nil"/>
              <w:bottom w:val="nil"/>
              <w:right w:val="nil"/>
            </w:tcBorders>
            <w:shd w:val="clear" w:color="000000" w:fill="FFFFFF"/>
            <w:vAlign w:val="center"/>
            <w:hideMark/>
          </w:tcPr>
          <w:p w14:paraId="7E12C0A7"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w:t>
            </w:r>
          </w:p>
        </w:tc>
        <w:tc>
          <w:tcPr>
            <w:tcW w:w="280" w:type="dxa"/>
            <w:tcBorders>
              <w:top w:val="nil"/>
              <w:left w:val="nil"/>
              <w:bottom w:val="nil"/>
              <w:right w:val="nil"/>
            </w:tcBorders>
            <w:shd w:val="clear" w:color="000000" w:fill="FFFFFF"/>
            <w:vAlign w:val="center"/>
            <w:hideMark/>
          </w:tcPr>
          <w:p w14:paraId="3075CCF1"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32440036"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432" w:type="dxa"/>
            <w:tcBorders>
              <w:top w:val="nil"/>
              <w:left w:val="nil"/>
              <w:bottom w:val="nil"/>
              <w:right w:val="nil"/>
            </w:tcBorders>
            <w:shd w:val="clear" w:color="000000" w:fill="FFFFFF"/>
            <w:vAlign w:val="center"/>
            <w:hideMark/>
          </w:tcPr>
          <w:p w14:paraId="75C8D61B"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34CAB661"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r>
      <w:tr w:rsidR="00D373EF" w:rsidRPr="00D373EF" w14:paraId="4FDFB2CA" w14:textId="77777777" w:rsidTr="00D373EF">
        <w:trPr>
          <w:trHeight w:val="225"/>
        </w:trPr>
        <w:tc>
          <w:tcPr>
            <w:tcW w:w="5260" w:type="dxa"/>
            <w:tcBorders>
              <w:top w:val="nil"/>
              <w:left w:val="nil"/>
              <w:bottom w:val="nil"/>
              <w:right w:val="nil"/>
            </w:tcBorders>
            <w:shd w:val="clear" w:color="000000" w:fill="FFFFFF"/>
            <w:noWrap/>
            <w:vAlign w:val="center"/>
            <w:hideMark/>
          </w:tcPr>
          <w:p w14:paraId="6CE67BA7"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Other gains and losses</w:t>
            </w:r>
          </w:p>
        </w:tc>
        <w:tc>
          <w:tcPr>
            <w:tcW w:w="1276" w:type="dxa"/>
            <w:tcBorders>
              <w:top w:val="nil"/>
              <w:left w:val="nil"/>
              <w:bottom w:val="nil"/>
              <w:right w:val="nil"/>
            </w:tcBorders>
            <w:shd w:val="clear" w:color="000000" w:fill="FFFFFF"/>
            <w:vAlign w:val="center"/>
            <w:hideMark/>
          </w:tcPr>
          <w:p w14:paraId="6122B6FE"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 xml:space="preserve">-  </w:t>
            </w:r>
          </w:p>
        </w:tc>
        <w:tc>
          <w:tcPr>
            <w:tcW w:w="280" w:type="dxa"/>
            <w:tcBorders>
              <w:top w:val="nil"/>
              <w:left w:val="nil"/>
              <w:bottom w:val="nil"/>
              <w:right w:val="nil"/>
            </w:tcBorders>
            <w:shd w:val="clear" w:color="000000" w:fill="FFFFFF"/>
            <w:vAlign w:val="center"/>
            <w:hideMark/>
          </w:tcPr>
          <w:p w14:paraId="0BD31BE6"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3CE1F011"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xml:space="preserve">-  </w:t>
            </w:r>
          </w:p>
        </w:tc>
        <w:tc>
          <w:tcPr>
            <w:tcW w:w="432" w:type="dxa"/>
            <w:tcBorders>
              <w:top w:val="nil"/>
              <w:left w:val="nil"/>
              <w:bottom w:val="nil"/>
              <w:right w:val="nil"/>
            </w:tcBorders>
            <w:shd w:val="clear" w:color="000000" w:fill="FFFFFF"/>
            <w:vAlign w:val="center"/>
            <w:hideMark/>
          </w:tcPr>
          <w:p w14:paraId="42C387C7"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623CC1B2"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(4,767)</w:t>
            </w:r>
          </w:p>
        </w:tc>
      </w:tr>
      <w:tr w:rsidR="00D373EF" w:rsidRPr="00D373EF" w14:paraId="24BB324E" w14:textId="77777777" w:rsidTr="00D373EF">
        <w:trPr>
          <w:trHeight w:val="225"/>
        </w:trPr>
        <w:tc>
          <w:tcPr>
            <w:tcW w:w="5260" w:type="dxa"/>
            <w:tcBorders>
              <w:top w:val="nil"/>
              <w:left w:val="nil"/>
              <w:bottom w:val="nil"/>
              <w:right w:val="nil"/>
            </w:tcBorders>
            <w:shd w:val="clear" w:color="000000" w:fill="FFFFFF"/>
            <w:noWrap/>
            <w:vAlign w:val="center"/>
            <w:hideMark/>
          </w:tcPr>
          <w:p w14:paraId="53DAC327"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Net finance costs</w:t>
            </w:r>
          </w:p>
        </w:tc>
        <w:tc>
          <w:tcPr>
            <w:tcW w:w="1276" w:type="dxa"/>
            <w:tcBorders>
              <w:top w:val="nil"/>
              <w:left w:val="nil"/>
              <w:bottom w:val="nil"/>
              <w:right w:val="nil"/>
            </w:tcBorders>
            <w:shd w:val="clear" w:color="000000" w:fill="FFFFFF"/>
            <w:vAlign w:val="center"/>
            <w:hideMark/>
          </w:tcPr>
          <w:p w14:paraId="0A7D8BDC" w14:textId="6F7FD352" w:rsidR="00D373EF" w:rsidRPr="00D373EF" w:rsidRDefault="00EE53DB" w:rsidP="00D373EF">
            <w:pPr>
              <w:spacing w:after="0"/>
              <w:jc w:val="right"/>
              <w:rPr>
                <w:rFonts w:ascii="Calibri" w:hAnsi="Calibri" w:cs="Arial"/>
                <w:b/>
                <w:bCs/>
                <w:sz w:val="16"/>
                <w:szCs w:val="16"/>
                <w:lang w:eastAsia="en-GB"/>
              </w:rPr>
            </w:pPr>
            <w:r>
              <w:rPr>
                <w:rFonts w:ascii="Calibri" w:hAnsi="Calibri" w:cs="Arial"/>
                <w:b/>
                <w:bCs/>
                <w:sz w:val="16"/>
                <w:szCs w:val="16"/>
                <w:lang w:eastAsia="en-GB"/>
              </w:rPr>
              <w:t>201</w:t>
            </w:r>
            <w:r w:rsidRPr="00D373EF">
              <w:rPr>
                <w:rFonts w:ascii="Calibri" w:hAnsi="Calibri" w:cs="Arial"/>
                <w:b/>
                <w:bCs/>
                <w:sz w:val="16"/>
                <w:szCs w:val="16"/>
                <w:lang w:eastAsia="en-GB"/>
              </w:rPr>
              <w:t xml:space="preserve"> </w:t>
            </w:r>
          </w:p>
        </w:tc>
        <w:tc>
          <w:tcPr>
            <w:tcW w:w="280" w:type="dxa"/>
            <w:tcBorders>
              <w:top w:val="nil"/>
              <w:left w:val="nil"/>
              <w:bottom w:val="nil"/>
              <w:right w:val="nil"/>
            </w:tcBorders>
            <w:shd w:val="clear" w:color="000000" w:fill="FFFFFF"/>
            <w:vAlign w:val="center"/>
            <w:hideMark/>
          </w:tcPr>
          <w:p w14:paraId="0D6B1E7D"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617D514A" w14:textId="15DAD3B3"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(2</w:t>
            </w:r>
            <w:r w:rsidR="00EE53DB">
              <w:rPr>
                <w:rFonts w:ascii="Calibri" w:hAnsi="Calibri" w:cs="Arial"/>
                <w:sz w:val="16"/>
                <w:szCs w:val="16"/>
                <w:lang w:eastAsia="en-GB"/>
              </w:rPr>
              <w:t>5</w:t>
            </w:r>
            <w:r w:rsidRPr="00D373EF">
              <w:rPr>
                <w:rFonts w:ascii="Calibri" w:hAnsi="Calibri" w:cs="Arial"/>
                <w:sz w:val="16"/>
                <w:szCs w:val="16"/>
                <w:lang w:eastAsia="en-GB"/>
              </w:rPr>
              <w:t>)</w:t>
            </w:r>
          </w:p>
        </w:tc>
        <w:tc>
          <w:tcPr>
            <w:tcW w:w="432" w:type="dxa"/>
            <w:tcBorders>
              <w:top w:val="nil"/>
              <w:left w:val="nil"/>
              <w:bottom w:val="nil"/>
              <w:right w:val="nil"/>
            </w:tcBorders>
            <w:shd w:val="clear" w:color="000000" w:fill="FFFFFF"/>
            <w:vAlign w:val="center"/>
            <w:hideMark/>
          </w:tcPr>
          <w:p w14:paraId="1FA46059"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0010EF5B" w14:textId="06F82484" w:rsidR="00D373EF" w:rsidRPr="00D373EF" w:rsidRDefault="00EE53DB" w:rsidP="00D373EF">
            <w:pPr>
              <w:spacing w:after="0"/>
              <w:jc w:val="right"/>
              <w:rPr>
                <w:rFonts w:ascii="Calibri" w:hAnsi="Calibri" w:cs="Arial"/>
                <w:sz w:val="16"/>
                <w:szCs w:val="16"/>
                <w:lang w:eastAsia="en-GB"/>
              </w:rPr>
            </w:pPr>
            <w:r>
              <w:rPr>
                <w:rFonts w:ascii="Calibri" w:hAnsi="Calibri" w:cs="Arial"/>
                <w:sz w:val="16"/>
                <w:szCs w:val="16"/>
                <w:lang w:eastAsia="en-GB"/>
              </w:rPr>
              <w:t>38</w:t>
            </w:r>
            <w:r w:rsidRPr="00D373EF">
              <w:rPr>
                <w:rFonts w:ascii="Calibri" w:hAnsi="Calibri" w:cs="Arial"/>
                <w:sz w:val="16"/>
                <w:szCs w:val="16"/>
                <w:lang w:eastAsia="en-GB"/>
              </w:rPr>
              <w:t xml:space="preserve"> </w:t>
            </w:r>
          </w:p>
        </w:tc>
      </w:tr>
      <w:tr w:rsidR="00D373EF" w:rsidRPr="00D373EF" w14:paraId="0D0C2FB7" w14:textId="77777777" w:rsidTr="00D373EF">
        <w:trPr>
          <w:trHeight w:val="225"/>
        </w:trPr>
        <w:tc>
          <w:tcPr>
            <w:tcW w:w="5260" w:type="dxa"/>
            <w:tcBorders>
              <w:top w:val="nil"/>
              <w:left w:val="nil"/>
              <w:bottom w:val="nil"/>
              <w:right w:val="nil"/>
            </w:tcBorders>
            <w:shd w:val="clear" w:color="000000" w:fill="FFFFFF"/>
            <w:noWrap/>
            <w:vAlign w:val="center"/>
            <w:hideMark/>
          </w:tcPr>
          <w:p w14:paraId="3C858F50" w14:textId="77777777" w:rsidR="00D373EF" w:rsidRPr="00D373EF" w:rsidRDefault="00D373EF" w:rsidP="00D373EF">
            <w:pPr>
              <w:spacing w:after="0"/>
              <w:rPr>
                <w:rFonts w:ascii="Calibri" w:hAnsi="Calibri" w:cs="Arial"/>
                <w:sz w:val="16"/>
                <w:szCs w:val="16"/>
                <w:lang w:eastAsia="en-GB"/>
              </w:rPr>
            </w:pPr>
            <w:r w:rsidRPr="00D373EF">
              <w:rPr>
                <w:rFonts w:ascii="Calibri" w:hAnsi="Calibri" w:cs="Arial"/>
                <w:sz w:val="16"/>
                <w:szCs w:val="16"/>
                <w:lang w:eastAsia="en-GB"/>
              </w:rPr>
              <w:t>Taxation</w:t>
            </w:r>
          </w:p>
        </w:tc>
        <w:tc>
          <w:tcPr>
            <w:tcW w:w="1276" w:type="dxa"/>
            <w:tcBorders>
              <w:top w:val="nil"/>
              <w:left w:val="nil"/>
              <w:bottom w:val="nil"/>
              <w:right w:val="nil"/>
            </w:tcBorders>
            <w:shd w:val="clear" w:color="000000" w:fill="FFFFFF"/>
            <w:vAlign w:val="center"/>
            <w:hideMark/>
          </w:tcPr>
          <w:p w14:paraId="6AD7C148" w14:textId="77777777" w:rsidR="00D373EF" w:rsidRPr="00D373EF" w:rsidRDefault="00D373EF" w:rsidP="00D373EF">
            <w:pPr>
              <w:spacing w:after="0"/>
              <w:jc w:val="right"/>
              <w:rPr>
                <w:rFonts w:ascii="Calibri" w:hAnsi="Calibri" w:cs="Arial"/>
                <w:b/>
                <w:bCs/>
                <w:sz w:val="16"/>
                <w:szCs w:val="16"/>
                <w:lang w:eastAsia="en-GB"/>
              </w:rPr>
            </w:pPr>
            <w:r w:rsidRPr="00D373EF">
              <w:rPr>
                <w:rFonts w:ascii="Calibri" w:hAnsi="Calibri" w:cs="Arial"/>
                <w:b/>
                <w:bCs/>
                <w:sz w:val="16"/>
                <w:szCs w:val="16"/>
                <w:lang w:eastAsia="en-GB"/>
              </w:rPr>
              <w:t>(46)</w:t>
            </w:r>
          </w:p>
        </w:tc>
        <w:tc>
          <w:tcPr>
            <w:tcW w:w="280" w:type="dxa"/>
            <w:tcBorders>
              <w:top w:val="nil"/>
              <w:left w:val="nil"/>
              <w:bottom w:val="nil"/>
              <w:right w:val="nil"/>
            </w:tcBorders>
            <w:shd w:val="clear" w:color="000000" w:fill="FFFFFF"/>
            <w:vAlign w:val="center"/>
            <w:hideMark/>
          </w:tcPr>
          <w:p w14:paraId="721EE376"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26090CE5"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(10)</w:t>
            </w:r>
          </w:p>
        </w:tc>
        <w:tc>
          <w:tcPr>
            <w:tcW w:w="432" w:type="dxa"/>
            <w:tcBorders>
              <w:top w:val="nil"/>
              <w:left w:val="nil"/>
              <w:bottom w:val="nil"/>
              <w:right w:val="nil"/>
            </w:tcBorders>
            <w:shd w:val="clear" w:color="000000" w:fill="FFFFFF"/>
            <w:vAlign w:val="center"/>
            <w:hideMark/>
          </w:tcPr>
          <w:p w14:paraId="44407DBD"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nil"/>
              <w:left w:val="nil"/>
              <w:bottom w:val="nil"/>
              <w:right w:val="nil"/>
            </w:tcBorders>
            <w:shd w:val="clear" w:color="000000" w:fill="FFFFFF"/>
            <w:vAlign w:val="center"/>
            <w:hideMark/>
          </w:tcPr>
          <w:p w14:paraId="79249F9D"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(3)</w:t>
            </w:r>
          </w:p>
        </w:tc>
      </w:tr>
      <w:tr w:rsidR="00D373EF" w:rsidRPr="00D373EF" w14:paraId="49C2B8C9" w14:textId="77777777" w:rsidTr="00D373EF">
        <w:trPr>
          <w:trHeight w:val="240"/>
        </w:trPr>
        <w:tc>
          <w:tcPr>
            <w:tcW w:w="5260" w:type="dxa"/>
            <w:tcBorders>
              <w:top w:val="nil"/>
              <w:left w:val="nil"/>
              <w:bottom w:val="nil"/>
              <w:right w:val="nil"/>
            </w:tcBorders>
            <w:shd w:val="clear" w:color="000000" w:fill="FFFFFF"/>
            <w:noWrap/>
            <w:vAlign w:val="center"/>
            <w:hideMark/>
          </w:tcPr>
          <w:p w14:paraId="278F45B1" w14:textId="77777777" w:rsidR="00D373EF" w:rsidRPr="00D373EF" w:rsidRDefault="00D373EF" w:rsidP="00D373EF">
            <w:pPr>
              <w:spacing w:after="0"/>
              <w:rPr>
                <w:rFonts w:ascii="Calibri" w:hAnsi="Calibri" w:cs="Arial"/>
                <w:b/>
                <w:bCs/>
                <w:sz w:val="16"/>
                <w:szCs w:val="16"/>
                <w:lang w:eastAsia="en-GB"/>
              </w:rPr>
            </w:pPr>
            <w:r w:rsidRPr="00D373EF">
              <w:rPr>
                <w:rFonts w:ascii="Calibri" w:hAnsi="Calibri" w:cs="Arial"/>
                <w:b/>
                <w:bCs/>
                <w:sz w:val="16"/>
                <w:szCs w:val="16"/>
                <w:lang w:eastAsia="en-GB"/>
              </w:rPr>
              <w:t>Loss for the year</w:t>
            </w:r>
          </w:p>
        </w:tc>
        <w:tc>
          <w:tcPr>
            <w:tcW w:w="1276" w:type="dxa"/>
            <w:tcBorders>
              <w:top w:val="single" w:sz="4" w:space="0" w:color="auto"/>
              <w:left w:val="nil"/>
              <w:bottom w:val="double" w:sz="6" w:space="0" w:color="auto"/>
              <w:right w:val="nil"/>
            </w:tcBorders>
            <w:shd w:val="clear" w:color="000000" w:fill="FFFFFF"/>
            <w:vAlign w:val="center"/>
            <w:hideMark/>
          </w:tcPr>
          <w:p w14:paraId="3E715258" w14:textId="789D8F0D" w:rsidR="00D373EF" w:rsidRPr="00D373EF" w:rsidRDefault="00D373EF" w:rsidP="00EE53DB">
            <w:pPr>
              <w:spacing w:after="0"/>
              <w:jc w:val="right"/>
              <w:rPr>
                <w:rFonts w:ascii="Calibri" w:hAnsi="Calibri" w:cs="Arial"/>
                <w:b/>
                <w:bCs/>
                <w:sz w:val="16"/>
                <w:szCs w:val="16"/>
                <w:lang w:eastAsia="en-GB"/>
              </w:rPr>
            </w:pPr>
            <w:r w:rsidRPr="00D373EF">
              <w:rPr>
                <w:rFonts w:ascii="Calibri" w:hAnsi="Calibri" w:cs="Arial"/>
                <w:b/>
                <w:bCs/>
                <w:sz w:val="16"/>
                <w:szCs w:val="16"/>
                <w:lang w:eastAsia="en-GB"/>
              </w:rPr>
              <w:t>(</w:t>
            </w:r>
            <w:r w:rsidR="00EE53DB">
              <w:rPr>
                <w:rFonts w:ascii="Calibri" w:hAnsi="Calibri" w:cs="Arial"/>
                <w:b/>
                <w:bCs/>
                <w:sz w:val="16"/>
                <w:szCs w:val="16"/>
                <w:lang w:eastAsia="en-GB"/>
              </w:rPr>
              <w:t>3,220</w:t>
            </w:r>
            <w:r w:rsidRPr="00D373EF">
              <w:rPr>
                <w:rFonts w:ascii="Calibri" w:hAnsi="Calibri" w:cs="Arial"/>
                <w:b/>
                <w:bCs/>
                <w:sz w:val="16"/>
                <w:szCs w:val="16"/>
                <w:lang w:eastAsia="en-GB"/>
              </w:rPr>
              <w:t>)</w:t>
            </w:r>
          </w:p>
        </w:tc>
        <w:tc>
          <w:tcPr>
            <w:tcW w:w="280" w:type="dxa"/>
            <w:tcBorders>
              <w:top w:val="nil"/>
              <w:left w:val="nil"/>
              <w:bottom w:val="nil"/>
              <w:right w:val="nil"/>
            </w:tcBorders>
            <w:shd w:val="clear" w:color="000000" w:fill="FFFFFF"/>
            <w:vAlign w:val="center"/>
            <w:hideMark/>
          </w:tcPr>
          <w:p w14:paraId="1C70D8E8"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34" w:type="dxa"/>
            <w:tcBorders>
              <w:top w:val="single" w:sz="4" w:space="0" w:color="auto"/>
              <w:left w:val="nil"/>
              <w:bottom w:val="double" w:sz="6" w:space="0" w:color="auto"/>
              <w:right w:val="nil"/>
            </w:tcBorders>
            <w:shd w:val="clear" w:color="000000" w:fill="FFFFFF"/>
            <w:vAlign w:val="center"/>
            <w:hideMark/>
          </w:tcPr>
          <w:p w14:paraId="303DF514" w14:textId="4F85E147" w:rsidR="00D373EF" w:rsidRPr="00D373EF" w:rsidRDefault="00D373EF" w:rsidP="00EE53DB">
            <w:pPr>
              <w:spacing w:after="0"/>
              <w:jc w:val="right"/>
              <w:rPr>
                <w:rFonts w:ascii="Calibri" w:hAnsi="Calibri" w:cs="Arial"/>
                <w:sz w:val="16"/>
                <w:szCs w:val="16"/>
                <w:lang w:eastAsia="en-GB"/>
              </w:rPr>
            </w:pPr>
            <w:r w:rsidRPr="00D373EF">
              <w:rPr>
                <w:rFonts w:ascii="Calibri" w:hAnsi="Calibri" w:cs="Arial"/>
                <w:sz w:val="16"/>
                <w:szCs w:val="16"/>
                <w:lang w:eastAsia="en-GB"/>
              </w:rPr>
              <w:t>(</w:t>
            </w:r>
            <w:r w:rsidR="00EE53DB">
              <w:rPr>
                <w:rFonts w:ascii="Calibri" w:hAnsi="Calibri" w:cs="Arial"/>
                <w:sz w:val="16"/>
                <w:szCs w:val="16"/>
                <w:lang w:eastAsia="en-GB"/>
              </w:rPr>
              <w:t>6,632)</w:t>
            </w:r>
          </w:p>
        </w:tc>
        <w:tc>
          <w:tcPr>
            <w:tcW w:w="432" w:type="dxa"/>
            <w:tcBorders>
              <w:top w:val="nil"/>
              <w:left w:val="nil"/>
              <w:bottom w:val="nil"/>
              <w:right w:val="nil"/>
            </w:tcBorders>
            <w:shd w:val="clear" w:color="000000" w:fill="FFFFFF"/>
            <w:vAlign w:val="center"/>
            <w:hideMark/>
          </w:tcPr>
          <w:p w14:paraId="53EFCDF7" w14:textId="77777777" w:rsidR="00D373EF" w:rsidRPr="00D373EF" w:rsidRDefault="00D373EF" w:rsidP="00D373EF">
            <w:pPr>
              <w:spacing w:after="0"/>
              <w:jc w:val="right"/>
              <w:rPr>
                <w:rFonts w:ascii="Calibri" w:hAnsi="Calibri" w:cs="Arial"/>
                <w:sz w:val="16"/>
                <w:szCs w:val="16"/>
                <w:lang w:eastAsia="en-GB"/>
              </w:rPr>
            </w:pPr>
            <w:r w:rsidRPr="00D373EF">
              <w:rPr>
                <w:rFonts w:ascii="Calibri" w:hAnsi="Calibri" w:cs="Arial"/>
                <w:sz w:val="16"/>
                <w:szCs w:val="16"/>
                <w:lang w:eastAsia="en-GB"/>
              </w:rPr>
              <w:t> </w:t>
            </w:r>
          </w:p>
        </w:tc>
        <w:tc>
          <w:tcPr>
            <w:tcW w:w="1127" w:type="dxa"/>
            <w:tcBorders>
              <w:top w:val="single" w:sz="4" w:space="0" w:color="auto"/>
              <w:left w:val="nil"/>
              <w:bottom w:val="double" w:sz="6" w:space="0" w:color="auto"/>
              <w:right w:val="nil"/>
            </w:tcBorders>
            <w:shd w:val="clear" w:color="000000" w:fill="FFFFFF"/>
            <w:vAlign w:val="center"/>
            <w:hideMark/>
          </w:tcPr>
          <w:p w14:paraId="31BD646F" w14:textId="5E204EDC" w:rsidR="00D373EF" w:rsidRPr="00D373EF" w:rsidRDefault="00D373EF" w:rsidP="00EE53DB">
            <w:pPr>
              <w:spacing w:after="0"/>
              <w:jc w:val="right"/>
              <w:rPr>
                <w:rFonts w:ascii="Calibri" w:hAnsi="Calibri" w:cs="Arial"/>
                <w:sz w:val="16"/>
                <w:szCs w:val="16"/>
                <w:lang w:eastAsia="en-GB"/>
              </w:rPr>
            </w:pPr>
            <w:r w:rsidRPr="00D373EF">
              <w:rPr>
                <w:rFonts w:ascii="Calibri" w:hAnsi="Calibri" w:cs="Arial"/>
                <w:sz w:val="16"/>
                <w:szCs w:val="16"/>
                <w:lang w:eastAsia="en-GB"/>
              </w:rPr>
              <w:t>(</w:t>
            </w:r>
            <w:r w:rsidR="00EE53DB">
              <w:rPr>
                <w:rFonts w:ascii="Calibri" w:hAnsi="Calibri" w:cs="Arial"/>
                <w:sz w:val="16"/>
                <w:szCs w:val="16"/>
                <w:lang w:eastAsia="en-GB"/>
              </w:rPr>
              <w:t>7,886</w:t>
            </w:r>
            <w:r w:rsidRPr="00D373EF">
              <w:rPr>
                <w:rFonts w:ascii="Calibri" w:hAnsi="Calibri" w:cs="Arial"/>
                <w:sz w:val="16"/>
                <w:szCs w:val="16"/>
                <w:lang w:eastAsia="en-GB"/>
              </w:rPr>
              <w:t>)</w:t>
            </w:r>
          </w:p>
        </w:tc>
      </w:tr>
    </w:tbl>
    <w:p w14:paraId="4E37D547" w14:textId="77777777" w:rsidR="00784641" w:rsidRPr="00692AFE" w:rsidRDefault="00784641" w:rsidP="00784641">
      <w:pPr>
        <w:pStyle w:val="NormalIndent"/>
        <w:spacing w:after="0"/>
        <w:ind w:left="0"/>
        <w:jc w:val="both"/>
        <w:rPr>
          <w:rFonts w:ascii="Calibri" w:hAnsi="Calibri"/>
          <w:b/>
          <w:bCs/>
          <w:noProof/>
          <w:szCs w:val="18"/>
          <w:highlight w:val="yellow"/>
        </w:rPr>
      </w:pPr>
    </w:p>
    <w:p w14:paraId="4EFDF1F7" w14:textId="77777777" w:rsidR="001F11DD" w:rsidRDefault="004B015C" w:rsidP="001F11DD">
      <w:pPr>
        <w:pStyle w:val="NormalIndent"/>
        <w:spacing w:after="0"/>
        <w:ind w:left="709"/>
        <w:jc w:val="both"/>
        <w:rPr>
          <w:rFonts w:ascii="Calibri" w:hAnsi="Calibri"/>
          <w:b/>
          <w:bCs/>
          <w:noProof/>
          <w:szCs w:val="18"/>
        </w:rPr>
      </w:pPr>
      <w:r w:rsidRPr="004B015C">
        <w:rPr>
          <w:rFonts w:ascii="Calibri" w:hAnsi="Calibri"/>
          <w:b/>
          <w:bCs/>
          <w:noProof/>
          <w:szCs w:val="18"/>
        </w:rPr>
        <w:t>Geographical information</w:t>
      </w:r>
    </w:p>
    <w:tbl>
      <w:tblPr>
        <w:tblW w:w="9513" w:type="dxa"/>
        <w:tblInd w:w="93" w:type="dxa"/>
        <w:tblLook w:val="04A0" w:firstRow="1" w:lastRow="0" w:firstColumn="1" w:lastColumn="0" w:noHBand="0" w:noVBand="1"/>
      </w:tblPr>
      <w:tblGrid>
        <w:gridCol w:w="3843"/>
        <w:gridCol w:w="1134"/>
        <w:gridCol w:w="283"/>
        <w:gridCol w:w="1276"/>
        <w:gridCol w:w="283"/>
        <w:gridCol w:w="1134"/>
        <w:gridCol w:w="426"/>
        <w:gridCol w:w="1134"/>
      </w:tblGrid>
      <w:tr w:rsidR="00D373EF" w:rsidRPr="00D373EF" w14:paraId="4753E0BC" w14:textId="77777777" w:rsidTr="00D373EF">
        <w:trPr>
          <w:trHeight w:val="225"/>
        </w:trPr>
        <w:tc>
          <w:tcPr>
            <w:tcW w:w="3843" w:type="dxa"/>
            <w:tcBorders>
              <w:top w:val="nil"/>
              <w:left w:val="nil"/>
              <w:bottom w:val="nil"/>
              <w:right w:val="nil"/>
            </w:tcBorders>
            <w:shd w:val="clear" w:color="000000" w:fill="FFFFFF"/>
            <w:noWrap/>
            <w:vAlign w:val="bottom"/>
            <w:hideMark/>
          </w:tcPr>
          <w:p w14:paraId="7F385D27"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 </w:t>
            </w:r>
          </w:p>
        </w:tc>
        <w:tc>
          <w:tcPr>
            <w:tcW w:w="2693" w:type="dxa"/>
            <w:gridSpan w:val="3"/>
            <w:tcBorders>
              <w:top w:val="nil"/>
              <w:left w:val="nil"/>
              <w:bottom w:val="single" w:sz="4" w:space="0" w:color="auto"/>
              <w:right w:val="nil"/>
            </w:tcBorders>
            <w:shd w:val="clear" w:color="000000" w:fill="FFFFFF"/>
            <w:noWrap/>
            <w:vAlign w:val="bottom"/>
            <w:hideMark/>
          </w:tcPr>
          <w:p w14:paraId="305AABDD" w14:textId="77777777" w:rsidR="00D373EF" w:rsidRPr="00D373EF" w:rsidRDefault="004B015C" w:rsidP="00D373EF">
            <w:pPr>
              <w:spacing w:after="0"/>
              <w:jc w:val="center"/>
              <w:rPr>
                <w:rFonts w:ascii="Calibri" w:hAnsi="Calibri" w:cs="Arial"/>
                <w:sz w:val="16"/>
                <w:szCs w:val="16"/>
                <w:lang w:eastAsia="en-GB"/>
              </w:rPr>
            </w:pPr>
            <w:r>
              <w:rPr>
                <w:rFonts w:ascii="Calibri" w:hAnsi="Calibri" w:cs="Arial"/>
                <w:sz w:val="16"/>
                <w:szCs w:val="16"/>
                <w:lang w:eastAsia="en-GB"/>
              </w:rPr>
              <w:t>Revenue</w:t>
            </w:r>
          </w:p>
        </w:tc>
        <w:tc>
          <w:tcPr>
            <w:tcW w:w="283" w:type="dxa"/>
            <w:tcBorders>
              <w:top w:val="nil"/>
              <w:left w:val="nil"/>
              <w:bottom w:val="nil"/>
              <w:right w:val="nil"/>
            </w:tcBorders>
            <w:shd w:val="clear" w:color="000000" w:fill="FFFFFF"/>
            <w:noWrap/>
            <w:vAlign w:val="bottom"/>
            <w:hideMark/>
          </w:tcPr>
          <w:p w14:paraId="217FF928" w14:textId="77777777" w:rsidR="00D373EF" w:rsidRPr="00D373EF" w:rsidRDefault="004B015C" w:rsidP="00D373EF">
            <w:pPr>
              <w:spacing w:after="0"/>
              <w:jc w:val="center"/>
              <w:rPr>
                <w:rFonts w:ascii="Calibri" w:hAnsi="Calibri" w:cs="Arial"/>
                <w:sz w:val="16"/>
                <w:szCs w:val="16"/>
                <w:lang w:eastAsia="en-GB"/>
              </w:rPr>
            </w:pPr>
            <w:r>
              <w:rPr>
                <w:rFonts w:ascii="Calibri" w:hAnsi="Calibri" w:cs="Arial"/>
                <w:sz w:val="16"/>
                <w:szCs w:val="16"/>
                <w:lang w:eastAsia="en-GB"/>
              </w:rPr>
              <w:t> </w:t>
            </w:r>
          </w:p>
        </w:tc>
        <w:tc>
          <w:tcPr>
            <w:tcW w:w="2694" w:type="dxa"/>
            <w:gridSpan w:val="3"/>
            <w:tcBorders>
              <w:top w:val="nil"/>
              <w:left w:val="nil"/>
              <w:bottom w:val="single" w:sz="4" w:space="0" w:color="auto"/>
              <w:right w:val="nil"/>
            </w:tcBorders>
            <w:shd w:val="clear" w:color="000000" w:fill="FFFFFF"/>
            <w:noWrap/>
            <w:vAlign w:val="bottom"/>
            <w:hideMark/>
          </w:tcPr>
          <w:p w14:paraId="45862C07" w14:textId="77777777" w:rsidR="00D373EF" w:rsidRPr="00D373EF" w:rsidRDefault="004B015C" w:rsidP="00D373EF">
            <w:pPr>
              <w:spacing w:after="0"/>
              <w:jc w:val="center"/>
              <w:rPr>
                <w:rFonts w:ascii="Calibri" w:hAnsi="Calibri" w:cs="Arial"/>
                <w:sz w:val="16"/>
                <w:szCs w:val="16"/>
                <w:lang w:eastAsia="en-GB"/>
              </w:rPr>
            </w:pPr>
            <w:r>
              <w:rPr>
                <w:rFonts w:ascii="Calibri" w:hAnsi="Calibri" w:cs="Arial"/>
                <w:sz w:val="16"/>
                <w:szCs w:val="16"/>
                <w:lang w:eastAsia="en-GB"/>
              </w:rPr>
              <w:t>Non-current assets</w:t>
            </w:r>
          </w:p>
        </w:tc>
      </w:tr>
      <w:tr w:rsidR="00D373EF" w:rsidRPr="00D373EF" w14:paraId="0C681C19" w14:textId="77777777" w:rsidTr="00D373EF">
        <w:trPr>
          <w:trHeight w:val="225"/>
        </w:trPr>
        <w:tc>
          <w:tcPr>
            <w:tcW w:w="3843" w:type="dxa"/>
            <w:tcBorders>
              <w:top w:val="nil"/>
              <w:left w:val="nil"/>
              <w:bottom w:val="nil"/>
              <w:right w:val="nil"/>
            </w:tcBorders>
            <w:shd w:val="clear" w:color="000000" w:fill="FFFFFF"/>
            <w:noWrap/>
            <w:vAlign w:val="bottom"/>
            <w:hideMark/>
          </w:tcPr>
          <w:p w14:paraId="77E15E1E"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Unaudited six months to 30 June</w:t>
            </w:r>
          </w:p>
        </w:tc>
        <w:tc>
          <w:tcPr>
            <w:tcW w:w="1134" w:type="dxa"/>
            <w:tcBorders>
              <w:top w:val="nil"/>
              <w:left w:val="nil"/>
              <w:bottom w:val="nil"/>
              <w:right w:val="nil"/>
            </w:tcBorders>
            <w:shd w:val="clear" w:color="000000" w:fill="FFFFFF"/>
            <w:vAlign w:val="center"/>
            <w:hideMark/>
          </w:tcPr>
          <w:p w14:paraId="1BE48C3A"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2016</w:t>
            </w:r>
          </w:p>
        </w:tc>
        <w:tc>
          <w:tcPr>
            <w:tcW w:w="283" w:type="dxa"/>
            <w:tcBorders>
              <w:top w:val="nil"/>
              <w:left w:val="nil"/>
              <w:bottom w:val="nil"/>
              <w:right w:val="nil"/>
            </w:tcBorders>
            <w:shd w:val="clear" w:color="000000" w:fill="FFFFFF"/>
            <w:vAlign w:val="center"/>
            <w:hideMark/>
          </w:tcPr>
          <w:p w14:paraId="29E45321" w14:textId="77777777" w:rsidR="00D373EF" w:rsidRPr="00D373EF" w:rsidRDefault="004B015C" w:rsidP="00D373EF">
            <w:pPr>
              <w:spacing w:after="0"/>
              <w:rPr>
                <w:rFonts w:ascii="Calibri" w:hAnsi="Calibri" w:cs="Arial"/>
                <w:b/>
                <w:bCs/>
                <w:sz w:val="16"/>
                <w:szCs w:val="16"/>
                <w:lang w:eastAsia="en-GB"/>
              </w:rPr>
            </w:pPr>
            <w:r>
              <w:rPr>
                <w:rFonts w:ascii="Calibri" w:hAnsi="Calibri" w:cs="Arial"/>
                <w:b/>
                <w:bCs/>
                <w:sz w:val="16"/>
                <w:szCs w:val="16"/>
                <w:lang w:eastAsia="en-GB"/>
              </w:rPr>
              <w:t> </w:t>
            </w:r>
          </w:p>
        </w:tc>
        <w:tc>
          <w:tcPr>
            <w:tcW w:w="1276" w:type="dxa"/>
            <w:tcBorders>
              <w:top w:val="nil"/>
              <w:left w:val="nil"/>
              <w:bottom w:val="nil"/>
              <w:right w:val="nil"/>
            </w:tcBorders>
            <w:shd w:val="clear" w:color="000000" w:fill="FFFFFF"/>
            <w:vAlign w:val="center"/>
            <w:hideMark/>
          </w:tcPr>
          <w:p w14:paraId="3755EC76"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2015</w:t>
            </w:r>
          </w:p>
        </w:tc>
        <w:tc>
          <w:tcPr>
            <w:tcW w:w="283" w:type="dxa"/>
            <w:tcBorders>
              <w:top w:val="nil"/>
              <w:left w:val="nil"/>
              <w:bottom w:val="nil"/>
              <w:right w:val="nil"/>
            </w:tcBorders>
            <w:shd w:val="clear" w:color="000000" w:fill="FFFFFF"/>
            <w:vAlign w:val="center"/>
            <w:hideMark/>
          </w:tcPr>
          <w:p w14:paraId="765D2BAD"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6F61909E"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2016</w:t>
            </w:r>
          </w:p>
        </w:tc>
        <w:tc>
          <w:tcPr>
            <w:tcW w:w="426" w:type="dxa"/>
            <w:tcBorders>
              <w:top w:val="nil"/>
              <w:left w:val="nil"/>
              <w:bottom w:val="nil"/>
              <w:right w:val="nil"/>
            </w:tcBorders>
            <w:shd w:val="clear" w:color="000000" w:fill="FFFFFF"/>
            <w:vAlign w:val="center"/>
            <w:hideMark/>
          </w:tcPr>
          <w:p w14:paraId="0CF5F882" w14:textId="77777777" w:rsidR="00D373EF" w:rsidRPr="00D373EF" w:rsidRDefault="004B015C" w:rsidP="00D373EF">
            <w:pPr>
              <w:spacing w:after="0"/>
              <w:rPr>
                <w:rFonts w:ascii="Calibri" w:hAnsi="Calibri" w:cs="Arial"/>
                <w:b/>
                <w:bCs/>
                <w:sz w:val="16"/>
                <w:szCs w:val="16"/>
                <w:lang w:eastAsia="en-GB"/>
              </w:rPr>
            </w:pPr>
            <w:r>
              <w:rPr>
                <w:rFonts w:ascii="Calibri" w:hAnsi="Calibri" w:cs="Arial"/>
                <w:b/>
                <w:bCs/>
                <w:sz w:val="16"/>
                <w:szCs w:val="16"/>
                <w:lang w:eastAsia="en-GB"/>
              </w:rPr>
              <w:t> </w:t>
            </w:r>
          </w:p>
        </w:tc>
        <w:tc>
          <w:tcPr>
            <w:tcW w:w="1134" w:type="dxa"/>
            <w:tcBorders>
              <w:top w:val="nil"/>
              <w:left w:val="nil"/>
              <w:bottom w:val="nil"/>
              <w:right w:val="nil"/>
            </w:tcBorders>
            <w:shd w:val="clear" w:color="000000" w:fill="FFFFFF"/>
            <w:vAlign w:val="center"/>
            <w:hideMark/>
          </w:tcPr>
          <w:p w14:paraId="534B577C"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2015</w:t>
            </w:r>
          </w:p>
        </w:tc>
      </w:tr>
      <w:tr w:rsidR="00D373EF" w:rsidRPr="00D373EF" w14:paraId="6E6E080A" w14:textId="77777777" w:rsidTr="00D373EF">
        <w:trPr>
          <w:trHeight w:val="225"/>
        </w:trPr>
        <w:tc>
          <w:tcPr>
            <w:tcW w:w="3843" w:type="dxa"/>
            <w:tcBorders>
              <w:top w:val="nil"/>
              <w:left w:val="nil"/>
              <w:bottom w:val="nil"/>
              <w:right w:val="nil"/>
            </w:tcBorders>
            <w:shd w:val="clear" w:color="000000" w:fill="FFFFFF"/>
            <w:vAlign w:val="center"/>
            <w:hideMark/>
          </w:tcPr>
          <w:p w14:paraId="110A9BB7" w14:textId="77777777" w:rsidR="00D373EF" w:rsidRPr="00D373EF" w:rsidRDefault="004B015C" w:rsidP="00D373EF">
            <w:pPr>
              <w:spacing w:after="0"/>
              <w:rPr>
                <w:rFonts w:ascii="Calibri" w:hAnsi="Calibri" w:cs="Arial"/>
                <w:b/>
                <w:bCs/>
                <w:sz w:val="16"/>
                <w:szCs w:val="16"/>
                <w:lang w:eastAsia="en-GB"/>
              </w:rPr>
            </w:pPr>
            <w:r>
              <w:rPr>
                <w:rFonts w:ascii="Calibri" w:hAnsi="Calibri" w:cs="Arial"/>
                <w:b/>
                <w:bCs/>
                <w:sz w:val="16"/>
                <w:szCs w:val="16"/>
                <w:lang w:eastAsia="en-GB"/>
              </w:rPr>
              <w:t>Continuing Operations</w:t>
            </w:r>
          </w:p>
        </w:tc>
        <w:tc>
          <w:tcPr>
            <w:tcW w:w="1134" w:type="dxa"/>
            <w:tcBorders>
              <w:top w:val="nil"/>
              <w:left w:val="nil"/>
              <w:bottom w:val="nil"/>
              <w:right w:val="nil"/>
            </w:tcBorders>
            <w:shd w:val="clear" w:color="000000" w:fill="FFFFFF"/>
            <w:vAlign w:val="center"/>
            <w:hideMark/>
          </w:tcPr>
          <w:p w14:paraId="5F046A89"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£'000</w:t>
            </w:r>
          </w:p>
        </w:tc>
        <w:tc>
          <w:tcPr>
            <w:tcW w:w="283" w:type="dxa"/>
            <w:tcBorders>
              <w:top w:val="nil"/>
              <w:left w:val="nil"/>
              <w:bottom w:val="nil"/>
              <w:right w:val="nil"/>
            </w:tcBorders>
            <w:shd w:val="clear" w:color="000000" w:fill="FFFFFF"/>
            <w:vAlign w:val="center"/>
            <w:hideMark/>
          </w:tcPr>
          <w:p w14:paraId="4777E64E"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276" w:type="dxa"/>
            <w:tcBorders>
              <w:top w:val="nil"/>
              <w:left w:val="nil"/>
              <w:bottom w:val="nil"/>
              <w:right w:val="nil"/>
            </w:tcBorders>
            <w:shd w:val="clear" w:color="000000" w:fill="FFFFFF"/>
            <w:vAlign w:val="center"/>
            <w:hideMark/>
          </w:tcPr>
          <w:p w14:paraId="5DCB24B0"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£'000</w:t>
            </w:r>
          </w:p>
        </w:tc>
        <w:tc>
          <w:tcPr>
            <w:tcW w:w="283" w:type="dxa"/>
            <w:tcBorders>
              <w:top w:val="nil"/>
              <w:left w:val="nil"/>
              <w:bottom w:val="nil"/>
              <w:right w:val="nil"/>
            </w:tcBorders>
            <w:shd w:val="clear" w:color="000000" w:fill="FFFFFF"/>
            <w:vAlign w:val="center"/>
            <w:hideMark/>
          </w:tcPr>
          <w:p w14:paraId="554B526C"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45A5D4F2"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£'000</w:t>
            </w:r>
          </w:p>
        </w:tc>
        <w:tc>
          <w:tcPr>
            <w:tcW w:w="426" w:type="dxa"/>
            <w:tcBorders>
              <w:top w:val="nil"/>
              <w:left w:val="nil"/>
              <w:bottom w:val="nil"/>
              <w:right w:val="nil"/>
            </w:tcBorders>
            <w:shd w:val="clear" w:color="000000" w:fill="FFFFFF"/>
            <w:vAlign w:val="center"/>
            <w:hideMark/>
          </w:tcPr>
          <w:p w14:paraId="05E72E58"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134" w:type="dxa"/>
            <w:tcBorders>
              <w:top w:val="nil"/>
              <w:left w:val="nil"/>
              <w:bottom w:val="nil"/>
              <w:right w:val="nil"/>
            </w:tcBorders>
            <w:shd w:val="clear" w:color="000000" w:fill="FFFFFF"/>
            <w:vAlign w:val="center"/>
            <w:hideMark/>
          </w:tcPr>
          <w:p w14:paraId="10E9A510"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£'000</w:t>
            </w:r>
          </w:p>
        </w:tc>
      </w:tr>
      <w:tr w:rsidR="00D373EF" w:rsidRPr="00D373EF" w14:paraId="6FADDA5B" w14:textId="77777777" w:rsidTr="00D373EF">
        <w:trPr>
          <w:trHeight w:val="225"/>
        </w:trPr>
        <w:tc>
          <w:tcPr>
            <w:tcW w:w="3843" w:type="dxa"/>
            <w:tcBorders>
              <w:top w:val="nil"/>
              <w:left w:val="nil"/>
              <w:bottom w:val="nil"/>
              <w:right w:val="nil"/>
            </w:tcBorders>
            <w:shd w:val="clear" w:color="000000" w:fill="FFFFFF"/>
            <w:vAlign w:val="center"/>
            <w:hideMark/>
          </w:tcPr>
          <w:p w14:paraId="0E374E70"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United Kingdom</w:t>
            </w:r>
          </w:p>
        </w:tc>
        <w:tc>
          <w:tcPr>
            <w:tcW w:w="1134" w:type="dxa"/>
            <w:tcBorders>
              <w:top w:val="nil"/>
              <w:left w:val="nil"/>
              <w:bottom w:val="nil"/>
              <w:right w:val="nil"/>
            </w:tcBorders>
            <w:shd w:val="clear" w:color="000000" w:fill="FFFFFF"/>
            <w:vAlign w:val="center"/>
            <w:hideMark/>
          </w:tcPr>
          <w:p w14:paraId="7AC8DA41"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1,473 </w:t>
            </w:r>
          </w:p>
        </w:tc>
        <w:tc>
          <w:tcPr>
            <w:tcW w:w="283" w:type="dxa"/>
            <w:tcBorders>
              <w:top w:val="nil"/>
              <w:left w:val="nil"/>
              <w:bottom w:val="nil"/>
              <w:right w:val="nil"/>
            </w:tcBorders>
            <w:shd w:val="clear" w:color="000000" w:fill="FFFFFF"/>
            <w:vAlign w:val="center"/>
            <w:hideMark/>
          </w:tcPr>
          <w:p w14:paraId="0669D8F7"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276" w:type="dxa"/>
            <w:tcBorders>
              <w:top w:val="nil"/>
              <w:left w:val="nil"/>
              <w:bottom w:val="nil"/>
              <w:right w:val="nil"/>
            </w:tcBorders>
            <w:shd w:val="clear" w:color="000000" w:fill="FFFFFF"/>
            <w:vAlign w:val="center"/>
            <w:hideMark/>
          </w:tcPr>
          <w:p w14:paraId="25B53E32"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1,990 </w:t>
            </w:r>
          </w:p>
        </w:tc>
        <w:tc>
          <w:tcPr>
            <w:tcW w:w="283" w:type="dxa"/>
            <w:tcBorders>
              <w:top w:val="nil"/>
              <w:left w:val="nil"/>
              <w:bottom w:val="nil"/>
              <w:right w:val="nil"/>
            </w:tcBorders>
            <w:shd w:val="clear" w:color="000000" w:fill="FFFFFF"/>
            <w:vAlign w:val="center"/>
            <w:hideMark/>
          </w:tcPr>
          <w:p w14:paraId="351FBC10"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1D7E789F"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970 </w:t>
            </w:r>
          </w:p>
        </w:tc>
        <w:tc>
          <w:tcPr>
            <w:tcW w:w="426" w:type="dxa"/>
            <w:tcBorders>
              <w:top w:val="nil"/>
              <w:left w:val="nil"/>
              <w:bottom w:val="nil"/>
              <w:right w:val="nil"/>
            </w:tcBorders>
            <w:shd w:val="clear" w:color="000000" w:fill="FFFFFF"/>
            <w:vAlign w:val="center"/>
            <w:hideMark/>
          </w:tcPr>
          <w:p w14:paraId="17E63831"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134" w:type="dxa"/>
            <w:tcBorders>
              <w:top w:val="nil"/>
              <w:left w:val="nil"/>
              <w:bottom w:val="nil"/>
              <w:right w:val="nil"/>
            </w:tcBorders>
            <w:shd w:val="clear" w:color="000000" w:fill="FFFFFF"/>
            <w:vAlign w:val="center"/>
            <w:hideMark/>
          </w:tcPr>
          <w:p w14:paraId="76066DC3"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1,173 </w:t>
            </w:r>
          </w:p>
        </w:tc>
      </w:tr>
      <w:tr w:rsidR="00D373EF" w:rsidRPr="00D373EF" w14:paraId="6F994D7D" w14:textId="77777777" w:rsidTr="00D373EF">
        <w:trPr>
          <w:trHeight w:val="225"/>
        </w:trPr>
        <w:tc>
          <w:tcPr>
            <w:tcW w:w="3843" w:type="dxa"/>
            <w:tcBorders>
              <w:top w:val="nil"/>
              <w:left w:val="nil"/>
              <w:bottom w:val="nil"/>
              <w:right w:val="nil"/>
            </w:tcBorders>
            <w:shd w:val="clear" w:color="000000" w:fill="FFFFFF"/>
            <w:vAlign w:val="center"/>
            <w:hideMark/>
          </w:tcPr>
          <w:p w14:paraId="7B9ED376"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Europe</w:t>
            </w:r>
          </w:p>
        </w:tc>
        <w:tc>
          <w:tcPr>
            <w:tcW w:w="1134" w:type="dxa"/>
            <w:tcBorders>
              <w:top w:val="nil"/>
              <w:left w:val="nil"/>
              <w:bottom w:val="nil"/>
              <w:right w:val="nil"/>
            </w:tcBorders>
            <w:shd w:val="clear" w:color="000000" w:fill="FFFFFF"/>
            <w:vAlign w:val="center"/>
            <w:hideMark/>
          </w:tcPr>
          <w:p w14:paraId="17234031"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859 </w:t>
            </w:r>
          </w:p>
        </w:tc>
        <w:tc>
          <w:tcPr>
            <w:tcW w:w="283" w:type="dxa"/>
            <w:tcBorders>
              <w:top w:val="nil"/>
              <w:left w:val="nil"/>
              <w:bottom w:val="nil"/>
              <w:right w:val="nil"/>
            </w:tcBorders>
            <w:shd w:val="clear" w:color="000000" w:fill="FFFFFF"/>
            <w:vAlign w:val="center"/>
            <w:hideMark/>
          </w:tcPr>
          <w:p w14:paraId="3E62680D"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276" w:type="dxa"/>
            <w:tcBorders>
              <w:top w:val="nil"/>
              <w:left w:val="nil"/>
              <w:bottom w:val="nil"/>
              <w:right w:val="nil"/>
            </w:tcBorders>
            <w:shd w:val="clear" w:color="000000" w:fill="FFFFFF"/>
            <w:vAlign w:val="center"/>
            <w:hideMark/>
          </w:tcPr>
          <w:p w14:paraId="603E82CD"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792 </w:t>
            </w:r>
          </w:p>
        </w:tc>
        <w:tc>
          <w:tcPr>
            <w:tcW w:w="283" w:type="dxa"/>
            <w:tcBorders>
              <w:top w:val="nil"/>
              <w:left w:val="nil"/>
              <w:bottom w:val="nil"/>
              <w:right w:val="nil"/>
            </w:tcBorders>
            <w:shd w:val="clear" w:color="000000" w:fill="FFFFFF"/>
            <w:vAlign w:val="center"/>
            <w:hideMark/>
          </w:tcPr>
          <w:p w14:paraId="592CE8A2"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2AE579DA"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919 </w:t>
            </w:r>
          </w:p>
        </w:tc>
        <w:tc>
          <w:tcPr>
            <w:tcW w:w="426" w:type="dxa"/>
            <w:tcBorders>
              <w:top w:val="nil"/>
              <w:left w:val="nil"/>
              <w:bottom w:val="nil"/>
              <w:right w:val="nil"/>
            </w:tcBorders>
            <w:shd w:val="clear" w:color="000000" w:fill="FFFFFF"/>
            <w:vAlign w:val="center"/>
            <w:hideMark/>
          </w:tcPr>
          <w:p w14:paraId="4080625B"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134" w:type="dxa"/>
            <w:tcBorders>
              <w:top w:val="nil"/>
              <w:left w:val="nil"/>
              <w:bottom w:val="nil"/>
              <w:right w:val="nil"/>
            </w:tcBorders>
            <w:shd w:val="clear" w:color="000000" w:fill="FFFFFF"/>
            <w:vAlign w:val="center"/>
            <w:hideMark/>
          </w:tcPr>
          <w:p w14:paraId="184A25D0"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  </w:t>
            </w:r>
          </w:p>
        </w:tc>
      </w:tr>
      <w:tr w:rsidR="00D373EF" w:rsidRPr="00D373EF" w14:paraId="41743FAD" w14:textId="77777777" w:rsidTr="00D373EF">
        <w:trPr>
          <w:trHeight w:val="225"/>
        </w:trPr>
        <w:tc>
          <w:tcPr>
            <w:tcW w:w="3843" w:type="dxa"/>
            <w:tcBorders>
              <w:top w:val="nil"/>
              <w:left w:val="nil"/>
              <w:bottom w:val="nil"/>
              <w:right w:val="nil"/>
            </w:tcBorders>
            <w:shd w:val="clear" w:color="000000" w:fill="FFFFFF"/>
            <w:vAlign w:val="center"/>
            <w:hideMark/>
          </w:tcPr>
          <w:p w14:paraId="673EA5B3"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Rest of World</w:t>
            </w:r>
          </w:p>
        </w:tc>
        <w:tc>
          <w:tcPr>
            <w:tcW w:w="1134" w:type="dxa"/>
            <w:tcBorders>
              <w:top w:val="nil"/>
              <w:left w:val="nil"/>
              <w:bottom w:val="nil"/>
              <w:right w:val="nil"/>
            </w:tcBorders>
            <w:shd w:val="clear" w:color="000000" w:fill="FFFFFF"/>
            <w:vAlign w:val="center"/>
            <w:hideMark/>
          </w:tcPr>
          <w:p w14:paraId="6967B671"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2,914 </w:t>
            </w:r>
          </w:p>
        </w:tc>
        <w:tc>
          <w:tcPr>
            <w:tcW w:w="283" w:type="dxa"/>
            <w:tcBorders>
              <w:top w:val="nil"/>
              <w:left w:val="nil"/>
              <w:bottom w:val="nil"/>
              <w:right w:val="nil"/>
            </w:tcBorders>
            <w:shd w:val="clear" w:color="000000" w:fill="FFFFFF"/>
            <w:vAlign w:val="center"/>
            <w:hideMark/>
          </w:tcPr>
          <w:p w14:paraId="4ACEF4E7"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276" w:type="dxa"/>
            <w:tcBorders>
              <w:top w:val="nil"/>
              <w:left w:val="nil"/>
              <w:bottom w:val="nil"/>
              <w:right w:val="nil"/>
            </w:tcBorders>
            <w:shd w:val="clear" w:color="000000" w:fill="FFFFFF"/>
            <w:vAlign w:val="center"/>
            <w:hideMark/>
          </w:tcPr>
          <w:p w14:paraId="00961252"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2,372 </w:t>
            </w:r>
          </w:p>
        </w:tc>
        <w:tc>
          <w:tcPr>
            <w:tcW w:w="283" w:type="dxa"/>
            <w:tcBorders>
              <w:top w:val="nil"/>
              <w:left w:val="nil"/>
              <w:bottom w:val="nil"/>
              <w:right w:val="nil"/>
            </w:tcBorders>
            <w:shd w:val="clear" w:color="000000" w:fill="FFFFFF"/>
            <w:vAlign w:val="center"/>
            <w:hideMark/>
          </w:tcPr>
          <w:p w14:paraId="18498372"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w:t>
            </w:r>
          </w:p>
        </w:tc>
        <w:tc>
          <w:tcPr>
            <w:tcW w:w="1134" w:type="dxa"/>
            <w:tcBorders>
              <w:top w:val="nil"/>
              <w:left w:val="nil"/>
              <w:bottom w:val="nil"/>
              <w:right w:val="nil"/>
            </w:tcBorders>
            <w:shd w:val="clear" w:color="000000" w:fill="FFFFFF"/>
            <w:vAlign w:val="center"/>
            <w:hideMark/>
          </w:tcPr>
          <w:p w14:paraId="574473F8"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  </w:t>
            </w:r>
          </w:p>
        </w:tc>
        <w:tc>
          <w:tcPr>
            <w:tcW w:w="426" w:type="dxa"/>
            <w:tcBorders>
              <w:top w:val="nil"/>
              <w:left w:val="nil"/>
              <w:bottom w:val="nil"/>
              <w:right w:val="nil"/>
            </w:tcBorders>
            <w:shd w:val="clear" w:color="000000" w:fill="FFFFFF"/>
            <w:vAlign w:val="center"/>
            <w:hideMark/>
          </w:tcPr>
          <w:p w14:paraId="7821E857"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134" w:type="dxa"/>
            <w:tcBorders>
              <w:top w:val="nil"/>
              <w:left w:val="nil"/>
              <w:bottom w:val="nil"/>
              <w:right w:val="nil"/>
            </w:tcBorders>
            <w:shd w:val="clear" w:color="000000" w:fill="FFFFFF"/>
            <w:vAlign w:val="center"/>
            <w:hideMark/>
          </w:tcPr>
          <w:p w14:paraId="47DB41B3"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  </w:t>
            </w:r>
          </w:p>
        </w:tc>
      </w:tr>
      <w:tr w:rsidR="002776D3" w:rsidRPr="00D373EF" w14:paraId="79333817" w14:textId="77777777" w:rsidTr="00D373EF">
        <w:trPr>
          <w:trHeight w:val="240"/>
        </w:trPr>
        <w:tc>
          <w:tcPr>
            <w:tcW w:w="3843" w:type="dxa"/>
            <w:tcBorders>
              <w:top w:val="nil"/>
              <w:left w:val="nil"/>
              <w:bottom w:val="nil"/>
              <w:right w:val="nil"/>
            </w:tcBorders>
            <w:shd w:val="clear" w:color="000000" w:fill="FFFFFF"/>
            <w:vAlign w:val="center"/>
            <w:hideMark/>
          </w:tcPr>
          <w:p w14:paraId="23BBACE9" w14:textId="77777777" w:rsidR="00D373EF" w:rsidRPr="00D373EF" w:rsidRDefault="004B015C" w:rsidP="00D373EF">
            <w:pPr>
              <w:spacing w:after="0"/>
              <w:rPr>
                <w:rFonts w:ascii="Calibri" w:hAnsi="Calibri" w:cs="Arial"/>
                <w:sz w:val="16"/>
                <w:szCs w:val="16"/>
                <w:lang w:eastAsia="en-GB"/>
              </w:rPr>
            </w:pPr>
            <w:r>
              <w:rPr>
                <w:rFonts w:ascii="Calibri" w:hAnsi="Calibri" w:cs="Arial"/>
                <w:sz w:val="16"/>
                <w:szCs w:val="16"/>
                <w:lang w:eastAsia="en-GB"/>
              </w:rPr>
              <w:t> </w:t>
            </w:r>
          </w:p>
        </w:tc>
        <w:tc>
          <w:tcPr>
            <w:tcW w:w="1134" w:type="dxa"/>
            <w:tcBorders>
              <w:top w:val="single" w:sz="4" w:space="0" w:color="auto"/>
              <w:left w:val="nil"/>
              <w:bottom w:val="double" w:sz="6" w:space="0" w:color="auto"/>
              <w:right w:val="nil"/>
            </w:tcBorders>
            <w:shd w:val="clear" w:color="000000" w:fill="FFFFFF"/>
            <w:vAlign w:val="center"/>
            <w:hideMark/>
          </w:tcPr>
          <w:p w14:paraId="71E5310C"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5,247 </w:t>
            </w:r>
          </w:p>
        </w:tc>
        <w:tc>
          <w:tcPr>
            <w:tcW w:w="283" w:type="dxa"/>
            <w:tcBorders>
              <w:top w:val="nil"/>
              <w:left w:val="nil"/>
              <w:bottom w:val="nil"/>
              <w:right w:val="nil"/>
            </w:tcBorders>
            <w:shd w:val="clear" w:color="000000" w:fill="FFFFFF"/>
            <w:vAlign w:val="center"/>
            <w:hideMark/>
          </w:tcPr>
          <w:p w14:paraId="0097815D"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276" w:type="dxa"/>
            <w:tcBorders>
              <w:top w:val="single" w:sz="4" w:space="0" w:color="auto"/>
              <w:left w:val="nil"/>
              <w:bottom w:val="double" w:sz="6" w:space="0" w:color="auto"/>
              <w:right w:val="nil"/>
            </w:tcBorders>
            <w:shd w:val="clear" w:color="000000" w:fill="FFFFFF"/>
            <w:vAlign w:val="center"/>
            <w:hideMark/>
          </w:tcPr>
          <w:p w14:paraId="4F4A84C2"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5,153 </w:t>
            </w:r>
          </w:p>
        </w:tc>
        <w:tc>
          <w:tcPr>
            <w:tcW w:w="283" w:type="dxa"/>
            <w:tcBorders>
              <w:top w:val="nil"/>
              <w:left w:val="nil"/>
              <w:bottom w:val="nil"/>
              <w:right w:val="nil"/>
            </w:tcBorders>
            <w:shd w:val="clear" w:color="000000" w:fill="FFFFFF"/>
            <w:vAlign w:val="center"/>
            <w:hideMark/>
          </w:tcPr>
          <w:p w14:paraId="78D3D440"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w:t>
            </w:r>
          </w:p>
        </w:tc>
        <w:tc>
          <w:tcPr>
            <w:tcW w:w="1134" w:type="dxa"/>
            <w:tcBorders>
              <w:top w:val="single" w:sz="4" w:space="0" w:color="auto"/>
              <w:left w:val="nil"/>
              <w:bottom w:val="double" w:sz="6" w:space="0" w:color="auto"/>
              <w:right w:val="nil"/>
            </w:tcBorders>
            <w:shd w:val="clear" w:color="000000" w:fill="FFFFFF"/>
            <w:vAlign w:val="center"/>
            <w:hideMark/>
          </w:tcPr>
          <w:p w14:paraId="71829561"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xml:space="preserve">1,889 </w:t>
            </w:r>
          </w:p>
        </w:tc>
        <w:tc>
          <w:tcPr>
            <w:tcW w:w="426" w:type="dxa"/>
            <w:tcBorders>
              <w:top w:val="nil"/>
              <w:left w:val="nil"/>
              <w:bottom w:val="nil"/>
              <w:right w:val="nil"/>
            </w:tcBorders>
            <w:shd w:val="clear" w:color="000000" w:fill="FFFFFF"/>
            <w:vAlign w:val="center"/>
            <w:hideMark/>
          </w:tcPr>
          <w:p w14:paraId="39A9AD70" w14:textId="77777777" w:rsidR="00D373EF" w:rsidRPr="00D373EF" w:rsidRDefault="004B015C" w:rsidP="00D373EF">
            <w:pPr>
              <w:spacing w:after="0"/>
              <w:jc w:val="right"/>
              <w:rPr>
                <w:rFonts w:ascii="Calibri" w:hAnsi="Calibri" w:cs="Arial"/>
                <w:b/>
                <w:bCs/>
                <w:sz w:val="16"/>
                <w:szCs w:val="16"/>
                <w:lang w:eastAsia="en-GB"/>
              </w:rPr>
            </w:pPr>
            <w:r>
              <w:rPr>
                <w:rFonts w:ascii="Calibri" w:hAnsi="Calibri" w:cs="Arial"/>
                <w:b/>
                <w:bCs/>
                <w:sz w:val="16"/>
                <w:szCs w:val="16"/>
                <w:lang w:eastAsia="en-GB"/>
              </w:rPr>
              <w:t> </w:t>
            </w:r>
          </w:p>
        </w:tc>
        <w:tc>
          <w:tcPr>
            <w:tcW w:w="1134" w:type="dxa"/>
            <w:tcBorders>
              <w:top w:val="single" w:sz="4" w:space="0" w:color="auto"/>
              <w:left w:val="nil"/>
              <w:bottom w:val="double" w:sz="6" w:space="0" w:color="auto"/>
              <w:right w:val="nil"/>
            </w:tcBorders>
            <w:shd w:val="clear" w:color="000000" w:fill="FFFFFF"/>
            <w:vAlign w:val="center"/>
            <w:hideMark/>
          </w:tcPr>
          <w:p w14:paraId="3D6F7DA0" w14:textId="77777777" w:rsidR="00D373EF" w:rsidRPr="00D373EF" w:rsidRDefault="004B015C" w:rsidP="00D373EF">
            <w:pPr>
              <w:spacing w:after="0"/>
              <w:jc w:val="right"/>
              <w:rPr>
                <w:rFonts w:ascii="Calibri" w:hAnsi="Calibri" w:cs="Arial"/>
                <w:sz w:val="16"/>
                <w:szCs w:val="16"/>
                <w:lang w:eastAsia="en-GB"/>
              </w:rPr>
            </w:pPr>
            <w:r>
              <w:rPr>
                <w:rFonts w:ascii="Calibri" w:hAnsi="Calibri" w:cs="Arial"/>
                <w:sz w:val="16"/>
                <w:szCs w:val="16"/>
                <w:lang w:eastAsia="en-GB"/>
              </w:rPr>
              <w:t xml:space="preserve">1,173 </w:t>
            </w:r>
          </w:p>
        </w:tc>
      </w:tr>
    </w:tbl>
    <w:p w14:paraId="3CFBC9CF" w14:textId="77777777" w:rsidR="00784641" w:rsidRPr="00692AFE" w:rsidRDefault="00784641" w:rsidP="00784641">
      <w:pPr>
        <w:pStyle w:val="Heading2"/>
        <w:rPr>
          <w:rFonts w:ascii="Calibri" w:hAnsi="Calibri"/>
          <w:noProof/>
          <w:color w:val="000000"/>
          <w:sz w:val="18"/>
          <w:szCs w:val="18"/>
        </w:rPr>
      </w:pPr>
    </w:p>
    <w:p w14:paraId="2279E2FE" w14:textId="77777777" w:rsidR="001F11DD" w:rsidRDefault="004B015C" w:rsidP="001F11DD">
      <w:pPr>
        <w:pStyle w:val="Heading2"/>
        <w:tabs>
          <w:tab w:val="clear" w:pos="567"/>
          <w:tab w:val="left" w:pos="709"/>
        </w:tabs>
        <w:rPr>
          <w:rFonts w:ascii="Calibri" w:hAnsi="Calibri"/>
          <w:noProof/>
          <w:color w:val="000000"/>
          <w:sz w:val="18"/>
          <w:szCs w:val="18"/>
        </w:rPr>
      </w:pPr>
      <w:r>
        <w:rPr>
          <w:rFonts w:ascii="Calibri" w:hAnsi="Calibri"/>
          <w:noProof/>
          <w:color w:val="000000"/>
          <w:sz w:val="18"/>
          <w:szCs w:val="18"/>
        </w:rPr>
        <w:t xml:space="preserve">3. </w:t>
      </w:r>
      <w:r>
        <w:rPr>
          <w:rFonts w:ascii="Calibri" w:hAnsi="Calibri"/>
          <w:noProof/>
          <w:color w:val="000000"/>
          <w:sz w:val="18"/>
          <w:szCs w:val="18"/>
        </w:rPr>
        <w:tab/>
        <w:t>Other income</w:t>
      </w:r>
    </w:p>
    <w:p w14:paraId="3905E71E" w14:textId="77777777" w:rsidR="00784641" w:rsidRDefault="004B015C" w:rsidP="00784641">
      <w:pPr>
        <w:pStyle w:val="Heading2"/>
        <w:rPr>
          <w:rFonts w:ascii="Calibri" w:hAnsi="Calibri"/>
          <w:b w:val="0"/>
          <w:noProof/>
          <w:color w:val="000000"/>
          <w:sz w:val="18"/>
          <w:szCs w:val="18"/>
        </w:rPr>
      </w:pPr>
      <w:r>
        <w:rPr>
          <w:rFonts w:ascii="Calibri" w:hAnsi="Calibri"/>
          <w:b w:val="0"/>
          <w:noProof/>
          <w:color w:val="000000"/>
          <w:sz w:val="18"/>
          <w:szCs w:val="18"/>
        </w:rPr>
        <w:t>Other income relates to research and development tax credit</w:t>
      </w:r>
      <w:r w:rsidR="00AE0A86">
        <w:rPr>
          <w:rFonts w:ascii="Calibri" w:hAnsi="Calibri"/>
          <w:b w:val="0"/>
          <w:noProof/>
          <w:color w:val="000000"/>
          <w:sz w:val="18"/>
          <w:szCs w:val="18"/>
        </w:rPr>
        <w:t>s</w:t>
      </w:r>
      <w:r>
        <w:rPr>
          <w:rFonts w:ascii="Calibri" w:hAnsi="Calibri"/>
          <w:b w:val="0"/>
          <w:noProof/>
          <w:color w:val="000000"/>
          <w:sz w:val="18"/>
          <w:szCs w:val="18"/>
        </w:rPr>
        <w:t xml:space="preserve"> which </w:t>
      </w:r>
      <w:r w:rsidR="00AE0A86">
        <w:rPr>
          <w:rFonts w:ascii="Calibri" w:hAnsi="Calibri"/>
          <w:b w:val="0"/>
          <w:noProof/>
          <w:color w:val="000000"/>
          <w:sz w:val="18"/>
          <w:szCs w:val="18"/>
        </w:rPr>
        <w:t xml:space="preserve">are </w:t>
      </w:r>
      <w:r>
        <w:rPr>
          <w:rFonts w:ascii="Calibri" w:hAnsi="Calibri"/>
          <w:b w:val="0"/>
          <w:noProof/>
          <w:color w:val="000000"/>
          <w:sz w:val="18"/>
          <w:szCs w:val="18"/>
        </w:rPr>
        <w:t xml:space="preserve">receivable from HMRC at the end of the period. </w:t>
      </w:r>
    </w:p>
    <w:p w14:paraId="496FD7EB" w14:textId="77777777" w:rsidR="00F540F9" w:rsidRPr="00FA221F" w:rsidRDefault="00F540F9" w:rsidP="00FA221F">
      <w:pPr>
        <w:rPr>
          <w:b/>
        </w:rPr>
      </w:pPr>
    </w:p>
    <w:p w14:paraId="32803042" w14:textId="77777777" w:rsidR="001F11DD" w:rsidRDefault="00D023F9" w:rsidP="001F11DD">
      <w:pPr>
        <w:pStyle w:val="Heading1"/>
        <w:tabs>
          <w:tab w:val="left" w:pos="709"/>
        </w:tabs>
        <w:spacing w:after="120"/>
        <w:jc w:val="both"/>
        <w:rPr>
          <w:rFonts w:ascii="Calibri" w:hAnsi="Calibri"/>
          <w:noProof/>
          <w:sz w:val="18"/>
        </w:rPr>
      </w:pPr>
      <w:r>
        <w:rPr>
          <w:rFonts w:ascii="Calibri" w:hAnsi="Calibri"/>
          <w:noProof/>
          <w:color w:val="000000"/>
          <w:sz w:val="18"/>
        </w:rPr>
        <w:t>4</w:t>
      </w:r>
      <w:r w:rsidRPr="00D373EF">
        <w:rPr>
          <w:rFonts w:ascii="Calibri" w:hAnsi="Calibri"/>
          <w:noProof/>
          <w:color w:val="000000"/>
          <w:sz w:val="18"/>
        </w:rPr>
        <w:t xml:space="preserve">. </w:t>
      </w:r>
      <w:r w:rsidRPr="00D373EF">
        <w:rPr>
          <w:rFonts w:ascii="Calibri" w:hAnsi="Calibri"/>
          <w:noProof/>
          <w:color w:val="000000"/>
          <w:sz w:val="18"/>
        </w:rPr>
        <w:tab/>
      </w:r>
      <w:r w:rsidR="004B015C" w:rsidRPr="004B015C">
        <w:rPr>
          <w:rFonts w:ascii="Calibri" w:hAnsi="Calibri"/>
          <w:iCs/>
          <w:noProof/>
          <w:color w:val="000000"/>
          <w:kern w:val="0"/>
          <w:sz w:val="18"/>
        </w:rPr>
        <w:t>Operating loss for the year</w:t>
      </w:r>
    </w:p>
    <w:p w14:paraId="7AC81CF4" w14:textId="77777777" w:rsidR="00D023F9" w:rsidRPr="00D023F9" w:rsidRDefault="004B015C" w:rsidP="00D023F9">
      <w:pPr>
        <w:pStyle w:val="Heading2"/>
        <w:rPr>
          <w:rFonts w:ascii="Calibri" w:hAnsi="Calibri"/>
          <w:b w:val="0"/>
          <w:noProof/>
          <w:color w:val="000000"/>
          <w:sz w:val="18"/>
          <w:szCs w:val="18"/>
        </w:rPr>
      </w:pPr>
      <w:r w:rsidRPr="004B015C">
        <w:rPr>
          <w:rFonts w:ascii="Calibri" w:hAnsi="Calibri"/>
          <w:b w:val="0"/>
          <w:noProof/>
          <w:color w:val="000000"/>
          <w:sz w:val="18"/>
          <w:szCs w:val="18"/>
        </w:rPr>
        <w:t>Operating loss for the year has been arrived at after charging:</w:t>
      </w:r>
    </w:p>
    <w:tbl>
      <w:tblPr>
        <w:tblW w:w="9513" w:type="dxa"/>
        <w:tblInd w:w="93" w:type="dxa"/>
        <w:tblLook w:val="04A0" w:firstRow="1" w:lastRow="0" w:firstColumn="1" w:lastColumn="0" w:noHBand="0" w:noVBand="1"/>
      </w:tblPr>
      <w:tblGrid>
        <w:gridCol w:w="5260"/>
        <w:gridCol w:w="1276"/>
        <w:gridCol w:w="283"/>
        <w:gridCol w:w="1134"/>
        <w:gridCol w:w="426"/>
        <w:gridCol w:w="1134"/>
      </w:tblGrid>
      <w:tr w:rsidR="00692AFE" w:rsidRPr="00692AFE" w14:paraId="21ACCD26" w14:textId="77777777" w:rsidTr="00B71EAB">
        <w:trPr>
          <w:trHeight w:val="960"/>
        </w:trPr>
        <w:tc>
          <w:tcPr>
            <w:tcW w:w="5260" w:type="dxa"/>
            <w:tcBorders>
              <w:top w:val="nil"/>
              <w:left w:val="nil"/>
              <w:bottom w:val="nil"/>
              <w:right w:val="nil"/>
            </w:tcBorders>
            <w:shd w:val="clear" w:color="000000" w:fill="FFFFFF"/>
            <w:noWrap/>
            <w:vAlign w:val="bottom"/>
            <w:hideMark/>
          </w:tcPr>
          <w:p w14:paraId="6A0BB9B2" w14:textId="77777777" w:rsidR="001F11DD" w:rsidRDefault="00692AFE" w:rsidP="001F11DD">
            <w:pPr>
              <w:spacing w:after="0"/>
              <w:jc w:val="right"/>
              <w:rPr>
                <w:rFonts w:ascii="Calibri" w:hAnsi="Calibri" w:cs="Arial"/>
                <w:szCs w:val="18"/>
                <w:lang w:eastAsia="en-GB"/>
              </w:rPr>
            </w:pPr>
            <w:r w:rsidRPr="00692AFE">
              <w:rPr>
                <w:rFonts w:ascii="Calibri" w:hAnsi="Calibri" w:cs="Arial"/>
                <w:szCs w:val="18"/>
                <w:lang w:eastAsia="en-GB"/>
              </w:rPr>
              <w:t> </w:t>
            </w:r>
          </w:p>
        </w:tc>
        <w:tc>
          <w:tcPr>
            <w:tcW w:w="1276" w:type="dxa"/>
            <w:tcBorders>
              <w:top w:val="nil"/>
              <w:left w:val="nil"/>
              <w:bottom w:val="nil"/>
              <w:right w:val="nil"/>
            </w:tcBorders>
            <w:shd w:val="clear" w:color="000000" w:fill="FFFFFF"/>
            <w:vAlign w:val="bottom"/>
            <w:hideMark/>
          </w:tcPr>
          <w:p w14:paraId="5EDFC1A5" w14:textId="77777777" w:rsidR="001F11DD" w:rsidRDefault="00692AFE" w:rsidP="001F11DD">
            <w:pPr>
              <w:spacing w:after="0"/>
              <w:jc w:val="right"/>
              <w:rPr>
                <w:rFonts w:ascii="Calibri" w:hAnsi="Calibri" w:cs="Arial"/>
                <w:b/>
                <w:bCs/>
                <w:szCs w:val="18"/>
                <w:lang w:eastAsia="en-GB"/>
              </w:rPr>
            </w:pPr>
            <w:r w:rsidRPr="00692AFE">
              <w:rPr>
                <w:rFonts w:ascii="Calibri" w:hAnsi="Calibri" w:cs="Arial"/>
                <w:b/>
                <w:bCs/>
                <w:szCs w:val="18"/>
                <w:lang w:eastAsia="en-GB"/>
              </w:rPr>
              <w:t>Unaudited six months ended</w:t>
            </w:r>
          </w:p>
          <w:p w14:paraId="4914CAEE" w14:textId="77777777" w:rsidR="001F11DD" w:rsidRDefault="00692AFE" w:rsidP="001F11DD">
            <w:pPr>
              <w:spacing w:after="0"/>
              <w:jc w:val="right"/>
              <w:rPr>
                <w:rFonts w:ascii="Calibri" w:hAnsi="Calibri" w:cs="Arial"/>
                <w:b/>
                <w:bCs/>
                <w:szCs w:val="18"/>
                <w:lang w:eastAsia="en-GB"/>
              </w:rPr>
            </w:pPr>
            <w:r w:rsidRPr="00692AFE">
              <w:rPr>
                <w:rFonts w:ascii="Calibri" w:hAnsi="Calibri" w:cs="Arial"/>
                <w:b/>
                <w:bCs/>
                <w:szCs w:val="18"/>
                <w:lang w:eastAsia="en-GB"/>
              </w:rPr>
              <w:t>30 Jun</w:t>
            </w:r>
            <w:r w:rsidR="00B71EAB">
              <w:rPr>
                <w:rFonts w:ascii="Calibri" w:hAnsi="Calibri" w:cs="Arial"/>
                <w:b/>
                <w:bCs/>
                <w:szCs w:val="18"/>
                <w:lang w:eastAsia="en-GB"/>
              </w:rPr>
              <w:t xml:space="preserve"> </w:t>
            </w:r>
            <w:r w:rsidRPr="00692AFE">
              <w:rPr>
                <w:rFonts w:ascii="Calibri" w:hAnsi="Calibri" w:cs="Arial"/>
                <w:b/>
                <w:bCs/>
                <w:szCs w:val="18"/>
                <w:lang w:eastAsia="en-GB"/>
              </w:rPr>
              <w:t>201</w:t>
            </w:r>
            <w:r w:rsidR="002E5130">
              <w:rPr>
                <w:rFonts w:ascii="Calibri" w:hAnsi="Calibri" w:cs="Arial"/>
                <w:b/>
                <w:bCs/>
                <w:szCs w:val="18"/>
                <w:lang w:eastAsia="en-GB"/>
              </w:rPr>
              <w:t>6</w:t>
            </w:r>
          </w:p>
        </w:tc>
        <w:tc>
          <w:tcPr>
            <w:tcW w:w="283" w:type="dxa"/>
            <w:tcBorders>
              <w:top w:val="nil"/>
              <w:left w:val="nil"/>
              <w:bottom w:val="nil"/>
              <w:right w:val="nil"/>
            </w:tcBorders>
            <w:shd w:val="clear" w:color="000000" w:fill="FFFFFF"/>
            <w:vAlign w:val="bottom"/>
            <w:hideMark/>
          </w:tcPr>
          <w:p w14:paraId="3DB9ED32" w14:textId="77777777" w:rsidR="001F11DD" w:rsidRDefault="00692AFE" w:rsidP="001F11DD">
            <w:pPr>
              <w:spacing w:after="0"/>
              <w:jc w:val="right"/>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bottom"/>
            <w:hideMark/>
          </w:tcPr>
          <w:p w14:paraId="20CD5DC0" w14:textId="77777777" w:rsidR="001F11DD" w:rsidRDefault="00692AFE" w:rsidP="001F11DD">
            <w:pPr>
              <w:spacing w:after="0"/>
              <w:jc w:val="right"/>
              <w:rPr>
                <w:rFonts w:ascii="Calibri" w:hAnsi="Calibri" w:cs="Arial"/>
                <w:szCs w:val="18"/>
                <w:lang w:eastAsia="en-GB"/>
              </w:rPr>
            </w:pPr>
            <w:r w:rsidRPr="00692AFE">
              <w:rPr>
                <w:rFonts w:ascii="Calibri" w:hAnsi="Calibri" w:cs="Arial"/>
                <w:szCs w:val="18"/>
                <w:lang w:eastAsia="en-GB"/>
              </w:rPr>
              <w:t>Unaudited six months ended</w:t>
            </w:r>
          </w:p>
          <w:p w14:paraId="01924647" w14:textId="77777777" w:rsidR="001F11DD" w:rsidRDefault="00692AFE" w:rsidP="001F11DD">
            <w:pPr>
              <w:spacing w:after="0"/>
              <w:jc w:val="right"/>
              <w:rPr>
                <w:rFonts w:ascii="Calibri" w:hAnsi="Calibri" w:cs="Arial"/>
                <w:szCs w:val="18"/>
                <w:lang w:eastAsia="en-GB"/>
              </w:rPr>
            </w:pPr>
            <w:r w:rsidRPr="00692AFE">
              <w:rPr>
                <w:rFonts w:ascii="Calibri" w:hAnsi="Calibri" w:cs="Arial"/>
                <w:szCs w:val="18"/>
                <w:lang w:eastAsia="en-GB"/>
              </w:rPr>
              <w:t>30 Jun 2015</w:t>
            </w:r>
          </w:p>
        </w:tc>
        <w:tc>
          <w:tcPr>
            <w:tcW w:w="426" w:type="dxa"/>
            <w:tcBorders>
              <w:top w:val="nil"/>
              <w:left w:val="nil"/>
              <w:bottom w:val="nil"/>
              <w:right w:val="nil"/>
            </w:tcBorders>
            <w:shd w:val="clear" w:color="000000" w:fill="FFFFFF"/>
            <w:vAlign w:val="bottom"/>
            <w:hideMark/>
          </w:tcPr>
          <w:p w14:paraId="639EB5C2" w14:textId="77777777" w:rsidR="001F11DD" w:rsidRDefault="00692AFE" w:rsidP="001F11DD">
            <w:pPr>
              <w:spacing w:after="0"/>
              <w:jc w:val="right"/>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bottom"/>
            <w:hideMark/>
          </w:tcPr>
          <w:p w14:paraId="5AAFB482" w14:textId="77777777" w:rsidR="001F11DD" w:rsidRDefault="00692AFE">
            <w:pPr>
              <w:spacing w:after="0"/>
              <w:jc w:val="right"/>
              <w:rPr>
                <w:rFonts w:ascii="Calibri" w:hAnsi="Calibri" w:cs="Arial"/>
                <w:szCs w:val="18"/>
                <w:lang w:eastAsia="en-GB"/>
              </w:rPr>
            </w:pPr>
            <w:r w:rsidRPr="00692AFE">
              <w:rPr>
                <w:rFonts w:ascii="Calibri" w:hAnsi="Calibri" w:cs="Arial"/>
                <w:szCs w:val="18"/>
                <w:lang w:eastAsia="en-GB"/>
              </w:rPr>
              <w:t>Audited full year ended 31 Dec 2015</w:t>
            </w:r>
          </w:p>
        </w:tc>
      </w:tr>
      <w:tr w:rsidR="00692AFE" w:rsidRPr="00692AFE" w14:paraId="46C17990" w14:textId="77777777" w:rsidTr="00692AFE">
        <w:trPr>
          <w:trHeight w:val="240"/>
        </w:trPr>
        <w:tc>
          <w:tcPr>
            <w:tcW w:w="5260" w:type="dxa"/>
            <w:tcBorders>
              <w:top w:val="nil"/>
              <w:left w:val="nil"/>
              <w:bottom w:val="nil"/>
              <w:right w:val="nil"/>
            </w:tcBorders>
            <w:shd w:val="clear" w:color="000000" w:fill="FFFFFF"/>
            <w:noWrap/>
            <w:vAlign w:val="bottom"/>
            <w:hideMark/>
          </w:tcPr>
          <w:p w14:paraId="7D46F02F"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 </w:t>
            </w:r>
          </w:p>
        </w:tc>
        <w:tc>
          <w:tcPr>
            <w:tcW w:w="1276" w:type="dxa"/>
            <w:tcBorders>
              <w:top w:val="nil"/>
              <w:left w:val="nil"/>
              <w:bottom w:val="nil"/>
              <w:right w:val="nil"/>
            </w:tcBorders>
            <w:shd w:val="clear" w:color="000000" w:fill="FFFFFF"/>
            <w:vAlign w:val="center"/>
            <w:hideMark/>
          </w:tcPr>
          <w:p w14:paraId="257942EC"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£'000</w:t>
            </w:r>
          </w:p>
        </w:tc>
        <w:tc>
          <w:tcPr>
            <w:tcW w:w="283" w:type="dxa"/>
            <w:tcBorders>
              <w:top w:val="nil"/>
              <w:left w:val="nil"/>
              <w:bottom w:val="nil"/>
              <w:right w:val="nil"/>
            </w:tcBorders>
            <w:shd w:val="clear" w:color="000000" w:fill="FFFFFF"/>
            <w:vAlign w:val="center"/>
            <w:hideMark/>
          </w:tcPr>
          <w:p w14:paraId="38091759"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4FD19356"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£'000</w:t>
            </w:r>
          </w:p>
        </w:tc>
        <w:tc>
          <w:tcPr>
            <w:tcW w:w="426" w:type="dxa"/>
            <w:tcBorders>
              <w:top w:val="nil"/>
              <w:left w:val="nil"/>
              <w:bottom w:val="nil"/>
              <w:right w:val="nil"/>
            </w:tcBorders>
            <w:shd w:val="clear" w:color="000000" w:fill="FFFFFF"/>
            <w:vAlign w:val="center"/>
            <w:hideMark/>
          </w:tcPr>
          <w:p w14:paraId="360E3A90"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5AE96480"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£'000</w:t>
            </w:r>
          </w:p>
        </w:tc>
      </w:tr>
      <w:tr w:rsidR="00692AFE" w:rsidRPr="00692AFE" w14:paraId="35F37372" w14:textId="77777777" w:rsidTr="00692AFE">
        <w:trPr>
          <w:trHeight w:val="240"/>
        </w:trPr>
        <w:tc>
          <w:tcPr>
            <w:tcW w:w="5260" w:type="dxa"/>
            <w:tcBorders>
              <w:top w:val="nil"/>
              <w:left w:val="nil"/>
              <w:bottom w:val="nil"/>
              <w:right w:val="nil"/>
            </w:tcBorders>
            <w:shd w:val="clear" w:color="000000" w:fill="FFFFFF"/>
            <w:noWrap/>
            <w:vAlign w:val="bottom"/>
            <w:hideMark/>
          </w:tcPr>
          <w:p w14:paraId="076154D8"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Amortisation of intangible</w:t>
            </w:r>
          </w:p>
        </w:tc>
        <w:tc>
          <w:tcPr>
            <w:tcW w:w="1276" w:type="dxa"/>
            <w:tcBorders>
              <w:top w:val="nil"/>
              <w:left w:val="nil"/>
              <w:bottom w:val="nil"/>
              <w:right w:val="nil"/>
            </w:tcBorders>
            <w:shd w:val="clear" w:color="000000" w:fill="FFFFFF"/>
            <w:vAlign w:val="center"/>
            <w:hideMark/>
          </w:tcPr>
          <w:p w14:paraId="3C00998B"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xml:space="preserve">172 </w:t>
            </w:r>
          </w:p>
        </w:tc>
        <w:tc>
          <w:tcPr>
            <w:tcW w:w="283" w:type="dxa"/>
            <w:tcBorders>
              <w:top w:val="nil"/>
              <w:left w:val="nil"/>
              <w:bottom w:val="nil"/>
              <w:right w:val="nil"/>
            </w:tcBorders>
            <w:shd w:val="clear" w:color="000000" w:fill="FFFFFF"/>
            <w:noWrap/>
            <w:vAlign w:val="bottom"/>
            <w:hideMark/>
          </w:tcPr>
          <w:p w14:paraId="7E0F3060"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27BFCCA3"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125 </w:t>
            </w:r>
          </w:p>
        </w:tc>
        <w:tc>
          <w:tcPr>
            <w:tcW w:w="426" w:type="dxa"/>
            <w:tcBorders>
              <w:top w:val="nil"/>
              <w:left w:val="nil"/>
              <w:bottom w:val="nil"/>
              <w:right w:val="nil"/>
            </w:tcBorders>
            <w:shd w:val="clear" w:color="000000" w:fill="FFFFFF"/>
            <w:noWrap/>
            <w:vAlign w:val="bottom"/>
            <w:hideMark/>
          </w:tcPr>
          <w:p w14:paraId="041A4323"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7E8E58D9"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277 </w:t>
            </w:r>
          </w:p>
        </w:tc>
      </w:tr>
      <w:tr w:rsidR="00692AFE" w:rsidRPr="00692AFE" w14:paraId="533D8024" w14:textId="77777777" w:rsidTr="00692AFE">
        <w:trPr>
          <w:trHeight w:val="240"/>
        </w:trPr>
        <w:tc>
          <w:tcPr>
            <w:tcW w:w="5260" w:type="dxa"/>
            <w:tcBorders>
              <w:top w:val="nil"/>
              <w:left w:val="nil"/>
              <w:bottom w:val="nil"/>
              <w:right w:val="nil"/>
            </w:tcBorders>
            <w:shd w:val="clear" w:color="000000" w:fill="FFFFFF"/>
            <w:noWrap/>
            <w:vAlign w:val="bottom"/>
            <w:hideMark/>
          </w:tcPr>
          <w:p w14:paraId="57A0A492"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Depreciation of property, plant &amp; equipment</w:t>
            </w:r>
          </w:p>
        </w:tc>
        <w:tc>
          <w:tcPr>
            <w:tcW w:w="1276" w:type="dxa"/>
            <w:tcBorders>
              <w:top w:val="nil"/>
              <w:left w:val="nil"/>
              <w:bottom w:val="nil"/>
              <w:right w:val="nil"/>
            </w:tcBorders>
            <w:shd w:val="clear" w:color="000000" w:fill="FFFFFF"/>
            <w:vAlign w:val="center"/>
            <w:hideMark/>
          </w:tcPr>
          <w:p w14:paraId="48D64BCE"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xml:space="preserve">201 </w:t>
            </w:r>
          </w:p>
        </w:tc>
        <w:tc>
          <w:tcPr>
            <w:tcW w:w="283" w:type="dxa"/>
            <w:tcBorders>
              <w:top w:val="nil"/>
              <w:left w:val="nil"/>
              <w:bottom w:val="nil"/>
              <w:right w:val="nil"/>
            </w:tcBorders>
            <w:shd w:val="clear" w:color="000000" w:fill="FFFFFF"/>
            <w:noWrap/>
            <w:vAlign w:val="bottom"/>
            <w:hideMark/>
          </w:tcPr>
          <w:p w14:paraId="602704B6"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53ECA304"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221 </w:t>
            </w:r>
          </w:p>
        </w:tc>
        <w:tc>
          <w:tcPr>
            <w:tcW w:w="426" w:type="dxa"/>
            <w:tcBorders>
              <w:top w:val="nil"/>
              <w:left w:val="nil"/>
              <w:bottom w:val="nil"/>
              <w:right w:val="nil"/>
            </w:tcBorders>
            <w:shd w:val="clear" w:color="000000" w:fill="FFFFFF"/>
            <w:noWrap/>
            <w:vAlign w:val="bottom"/>
            <w:hideMark/>
          </w:tcPr>
          <w:p w14:paraId="3836B5AF"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25E4BD43"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482 </w:t>
            </w:r>
          </w:p>
        </w:tc>
      </w:tr>
      <w:tr w:rsidR="00692AFE" w:rsidRPr="00692AFE" w14:paraId="238742EE" w14:textId="77777777" w:rsidTr="00692AFE">
        <w:trPr>
          <w:trHeight w:val="240"/>
        </w:trPr>
        <w:tc>
          <w:tcPr>
            <w:tcW w:w="5260" w:type="dxa"/>
            <w:tcBorders>
              <w:top w:val="nil"/>
              <w:left w:val="nil"/>
              <w:bottom w:val="nil"/>
              <w:right w:val="nil"/>
            </w:tcBorders>
            <w:shd w:val="clear" w:color="000000" w:fill="FFFFFF"/>
            <w:noWrap/>
            <w:vAlign w:val="bottom"/>
            <w:hideMark/>
          </w:tcPr>
          <w:p w14:paraId="7969C5E2"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Loss on disposal of investment</w:t>
            </w:r>
          </w:p>
        </w:tc>
        <w:tc>
          <w:tcPr>
            <w:tcW w:w="1276" w:type="dxa"/>
            <w:tcBorders>
              <w:top w:val="nil"/>
              <w:left w:val="nil"/>
              <w:bottom w:val="nil"/>
              <w:right w:val="nil"/>
            </w:tcBorders>
            <w:shd w:val="clear" w:color="000000" w:fill="FFFFFF"/>
            <w:vAlign w:val="center"/>
            <w:hideMark/>
          </w:tcPr>
          <w:p w14:paraId="69D96303"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xml:space="preserve">-  </w:t>
            </w:r>
          </w:p>
        </w:tc>
        <w:tc>
          <w:tcPr>
            <w:tcW w:w="283" w:type="dxa"/>
            <w:tcBorders>
              <w:top w:val="nil"/>
              <w:left w:val="nil"/>
              <w:bottom w:val="nil"/>
              <w:right w:val="nil"/>
            </w:tcBorders>
            <w:shd w:val="clear" w:color="000000" w:fill="FFFFFF"/>
            <w:noWrap/>
            <w:vAlign w:val="bottom"/>
            <w:hideMark/>
          </w:tcPr>
          <w:p w14:paraId="53B86A4B"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64D290EA"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  </w:t>
            </w:r>
          </w:p>
        </w:tc>
        <w:tc>
          <w:tcPr>
            <w:tcW w:w="426" w:type="dxa"/>
            <w:tcBorders>
              <w:top w:val="nil"/>
              <w:left w:val="nil"/>
              <w:bottom w:val="nil"/>
              <w:right w:val="nil"/>
            </w:tcBorders>
            <w:shd w:val="clear" w:color="000000" w:fill="FFFFFF"/>
            <w:noWrap/>
            <w:vAlign w:val="bottom"/>
            <w:hideMark/>
          </w:tcPr>
          <w:p w14:paraId="7D0E60C2"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2BA2E711"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4,767 </w:t>
            </w:r>
          </w:p>
        </w:tc>
      </w:tr>
      <w:tr w:rsidR="00692AFE" w:rsidRPr="00692AFE" w14:paraId="0C871132" w14:textId="77777777" w:rsidTr="00692AFE">
        <w:trPr>
          <w:trHeight w:val="240"/>
        </w:trPr>
        <w:tc>
          <w:tcPr>
            <w:tcW w:w="5260" w:type="dxa"/>
            <w:tcBorders>
              <w:top w:val="nil"/>
              <w:left w:val="nil"/>
              <w:bottom w:val="nil"/>
              <w:right w:val="nil"/>
            </w:tcBorders>
            <w:shd w:val="clear" w:color="000000" w:fill="FFFFFF"/>
            <w:noWrap/>
            <w:vAlign w:val="bottom"/>
            <w:hideMark/>
          </w:tcPr>
          <w:p w14:paraId="171F7071"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Bad debt provision</w:t>
            </w:r>
            <w:r w:rsidR="00AE0A86">
              <w:rPr>
                <w:rFonts w:ascii="Calibri" w:hAnsi="Calibri" w:cs="Arial"/>
                <w:szCs w:val="18"/>
                <w:lang w:eastAsia="en-GB"/>
              </w:rPr>
              <w:t>s</w:t>
            </w:r>
            <w:r w:rsidRPr="00692AFE">
              <w:rPr>
                <w:rFonts w:ascii="Calibri" w:hAnsi="Calibri" w:cs="Arial"/>
                <w:szCs w:val="18"/>
                <w:lang w:eastAsia="en-GB"/>
              </w:rPr>
              <w:t xml:space="preserve"> and write off</w:t>
            </w:r>
            <w:r w:rsidR="00AE0A86">
              <w:rPr>
                <w:rFonts w:ascii="Calibri" w:hAnsi="Calibri" w:cs="Arial"/>
                <w:szCs w:val="18"/>
                <w:lang w:eastAsia="en-GB"/>
              </w:rPr>
              <w:t>s</w:t>
            </w:r>
          </w:p>
        </w:tc>
        <w:tc>
          <w:tcPr>
            <w:tcW w:w="1276" w:type="dxa"/>
            <w:tcBorders>
              <w:top w:val="nil"/>
              <w:left w:val="nil"/>
              <w:bottom w:val="nil"/>
              <w:right w:val="nil"/>
            </w:tcBorders>
            <w:shd w:val="clear" w:color="000000" w:fill="FFFFFF"/>
            <w:vAlign w:val="center"/>
            <w:hideMark/>
          </w:tcPr>
          <w:p w14:paraId="2C295992"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xml:space="preserve">818 </w:t>
            </w:r>
          </w:p>
        </w:tc>
        <w:tc>
          <w:tcPr>
            <w:tcW w:w="283" w:type="dxa"/>
            <w:tcBorders>
              <w:top w:val="nil"/>
              <w:left w:val="nil"/>
              <w:bottom w:val="nil"/>
              <w:right w:val="nil"/>
            </w:tcBorders>
            <w:shd w:val="clear" w:color="000000" w:fill="FFFFFF"/>
            <w:noWrap/>
            <w:vAlign w:val="bottom"/>
            <w:hideMark/>
          </w:tcPr>
          <w:p w14:paraId="495E0A8F"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37C7E598"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88 </w:t>
            </w:r>
          </w:p>
        </w:tc>
        <w:tc>
          <w:tcPr>
            <w:tcW w:w="426" w:type="dxa"/>
            <w:tcBorders>
              <w:top w:val="nil"/>
              <w:left w:val="nil"/>
              <w:bottom w:val="nil"/>
              <w:right w:val="nil"/>
            </w:tcBorders>
            <w:shd w:val="clear" w:color="000000" w:fill="FFFFFF"/>
            <w:noWrap/>
            <w:vAlign w:val="bottom"/>
            <w:hideMark/>
          </w:tcPr>
          <w:p w14:paraId="0ABFC34D"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79B41498"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249 </w:t>
            </w:r>
          </w:p>
        </w:tc>
      </w:tr>
      <w:tr w:rsidR="00692AFE" w:rsidRPr="00692AFE" w14:paraId="23445438" w14:textId="77777777" w:rsidTr="00692AFE">
        <w:trPr>
          <w:trHeight w:val="240"/>
        </w:trPr>
        <w:tc>
          <w:tcPr>
            <w:tcW w:w="5260" w:type="dxa"/>
            <w:tcBorders>
              <w:top w:val="nil"/>
              <w:left w:val="nil"/>
              <w:bottom w:val="nil"/>
              <w:right w:val="nil"/>
            </w:tcBorders>
            <w:shd w:val="clear" w:color="000000" w:fill="FFFFFF"/>
            <w:noWrap/>
            <w:vAlign w:val="bottom"/>
            <w:hideMark/>
          </w:tcPr>
          <w:p w14:paraId="34AB55F3"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Share based payment expense</w:t>
            </w:r>
          </w:p>
        </w:tc>
        <w:tc>
          <w:tcPr>
            <w:tcW w:w="1276" w:type="dxa"/>
            <w:tcBorders>
              <w:top w:val="nil"/>
              <w:left w:val="nil"/>
              <w:bottom w:val="nil"/>
              <w:right w:val="nil"/>
            </w:tcBorders>
            <w:shd w:val="clear" w:color="000000" w:fill="FFFFFF"/>
            <w:vAlign w:val="center"/>
            <w:hideMark/>
          </w:tcPr>
          <w:p w14:paraId="2C0D1A41"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(16)</w:t>
            </w:r>
          </w:p>
        </w:tc>
        <w:tc>
          <w:tcPr>
            <w:tcW w:w="283" w:type="dxa"/>
            <w:tcBorders>
              <w:top w:val="nil"/>
              <w:left w:val="nil"/>
              <w:bottom w:val="nil"/>
              <w:right w:val="nil"/>
            </w:tcBorders>
            <w:shd w:val="clear" w:color="000000" w:fill="FFFFFF"/>
            <w:noWrap/>
            <w:vAlign w:val="bottom"/>
            <w:hideMark/>
          </w:tcPr>
          <w:p w14:paraId="0DB4F453"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720DDD48"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73 </w:t>
            </w:r>
          </w:p>
        </w:tc>
        <w:tc>
          <w:tcPr>
            <w:tcW w:w="426" w:type="dxa"/>
            <w:tcBorders>
              <w:top w:val="nil"/>
              <w:left w:val="nil"/>
              <w:bottom w:val="nil"/>
              <w:right w:val="nil"/>
            </w:tcBorders>
            <w:shd w:val="clear" w:color="000000" w:fill="FFFFFF"/>
            <w:noWrap/>
            <w:vAlign w:val="bottom"/>
            <w:hideMark/>
          </w:tcPr>
          <w:p w14:paraId="18EEF7CA"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nil"/>
              <w:right w:val="nil"/>
            </w:tcBorders>
            <w:shd w:val="clear" w:color="000000" w:fill="FFFFFF"/>
            <w:vAlign w:val="center"/>
            <w:hideMark/>
          </w:tcPr>
          <w:p w14:paraId="22A4B1C3"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137 </w:t>
            </w:r>
          </w:p>
        </w:tc>
      </w:tr>
      <w:tr w:rsidR="00692AFE" w:rsidRPr="00692AFE" w14:paraId="0D41333B" w14:textId="77777777" w:rsidTr="00692AFE">
        <w:trPr>
          <w:trHeight w:val="255"/>
        </w:trPr>
        <w:tc>
          <w:tcPr>
            <w:tcW w:w="5260" w:type="dxa"/>
            <w:tcBorders>
              <w:top w:val="nil"/>
              <w:left w:val="nil"/>
              <w:bottom w:val="nil"/>
              <w:right w:val="nil"/>
            </w:tcBorders>
            <w:shd w:val="clear" w:color="000000" w:fill="FFFFFF"/>
            <w:noWrap/>
            <w:vAlign w:val="bottom"/>
            <w:hideMark/>
          </w:tcPr>
          <w:p w14:paraId="0F5F9BAC" w14:textId="77777777" w:rsidR="00692AFE" w:rsidRPr="00692AFE" w:rsidRDefault="00692AFE" w:rsidP="00692AFE">
            <w:pPr>
              <w:spacing w:after="0"/>
              <w:rPr>
                <w:rFonts w:ascii="Calibri" w:hAnsi="Calibri" w:cs="Arial"/>
                <w:szCs w:val="18"/>
                <w:lang w:eastAsia="en-GB"/>
              </w:rPr>
            </w:pPr>
            <w:r w:rsidRPr="00692AFE">
              <w:rPr>
                <w:rFonts w:ascii="Calibri" w:hAnsi="Calibri" w:cs="Arial"/>
                <w:szCs w:val="18"/>
                <w:lang w:eastAsia="en-GB"/>
              </w:rPr>
              <w:t>Staff costs</w:t>
            </w:r>
          </w:p>
        </w:tc>
        <w:tc>
          <w:tcPr>
            <w:tcW w:w="1276" w:type="dxa"/>
            <w:tcBorders>
              <w:top w:val="nil"/>
              <w:left w:val="nil"/>
              <w:bottom w:val="double" w:sz="6" w:space="0" w:color="auto"/>
              <w:right w:val="nil"/>
            </w:tcBorders>
            <w:shd w:val="clear" w:color="000000" w:fill="FFFFFF"/>
            <w:vAlign w:val="center"/>
            <w:hideMark/>
          </w:tcPr>
          <w:p w14:paraId="61E3D938" w14:textId="77777777" w:rsidR="00692AFE" w:rsidRPr="00692AFE" w:rsidRDefault="00692AFE" w:rsidP="00692AFE">
            <w:pPr>
              <w:spacing w:after="0"/>
              <w:jc w:val="right"/>
              <w:rPr>
                <w:rFonts w:ascii="Calibri" w:hAnsi="Calibri" w:cs="Arial"/>
                <w:b/>
                <w:bCs/>
                <w:szCs w:val="18"/>
                <w:lang w:eastAsia="en-GB"/>
              </w:rPr>
            </w:pPr>
            <w:r w:rsidRPr="00692AFE">
              <w:rPr>
                <w:rFonts w:ascii="Calibri" w:hAnsi="Calibri" w:cs="Arial"/>
                <w:b/>
                <w:bCs/>
                <w:szCs w:val="18"/>
                <w:lang w:eastAsia="en-GB"/>
              </w:rPr>
              <w:t xml:space="preserve">3,800 </w:t>
            </w:r>
          </w:p>
        </w:tc>
        <w:tc>
          <w:tcPr>
            <w:tcW w:w="283" w:type="dxa"/>
            <w:tcBorders>
              <w:top w:val="nil"/>
              <w:left w:val="nil"/>
              <w:bottom w:val="nil"/>
              <w:right w:val="nil"/>
            </w:tcBorders>
            <w:shd w:val="clear" w:color="000000" w:fill="FFFFFF"/>
            <w:noWrap/>
            <w:vAlign w:val="bottom"/>
            <w:hideMark/>
          </w:tcPr>
          <w:p w14:paraId="7D111AF9"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double" w:sz="6" w:space="0" w:color="auto"/>
              <w:right w:val="nil"/>
            </w:tcBorders>
            <w:shd w:val="clear" w:color="000000" w:fill="FFFFFF"/>
            <w:vAlign w:val="center"/>
            <w:hideMark/>
          </w:tcPr>
          <w:p w14:paraId="1444B64D"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3,635 </w:t>
            </w:r>
          </w:p>
        </w:tc>
        <w:tc>
          <w:tcPr>
            <w:tcW w:w="426" w:type="dxa"/>
            <w:tcBorders>
              <w:top w:val="nil"/>
              <w:left w:val="nil"/>
              <w:bottom w:val="nil"/>
              <w:right w:val="nil"/>
            </w:tcBorders>
            <w:shd w:val="clear" w:color="000000" w:fill="FFFFFF"/>
            <w:noWrap/>
            <w:vAlign w:val="bottom"/>
            <w:hideMark/>
          </w:tcPr>
          <w:p w14:paraId="2B12548E" w14:textId="77777777" w:rsidR="00692AFE" w:rsidRPr="00692AFE" w:rsidRDefault="00692AFE" w:rsidP="00692AFE">
            <w:pPr>
              <w:spacing w:after="0"/>
              <w:rPr>
                <w:rFonts w:ascii="Calibri" w:hAnsi="Calibri" w:cs="Arial"/>
                <w:b/>
                <w:bCs/>
                <w:szCs w:val="18"/>
                <w:lang w:eastAsia="en-GB"/>
              </w:rPr>
            </w:pPr>
            <w:r w:rsidRPr="00692AFE">
              <w:rPr>
                <w:rFonts w:ascii="Calibri" w:hAnsi="Calibri" w:cs="Arial"/>
                <w:b/>
                <w:bCs/>
                <w:szCs w:val="18"/>
                <w:lang w:eastAsia="en-GB"/>
              </w:rPr>
              <w:t> </w:t>
            </w:r>
          </w:p>
        </w:tc>
        <w:tc>
          <w:tcPr>
            <w:tcW w:w="1134" w:type="dxa"/>
            <w:tcBorders>
              <w:top w:val="nil"/>
              <w:left w:val="nil"/>
              <w:bottom w:val="double" w:sz="6" w:space="0" w:color="auto"/>
              <w:right w:val="nil"/>
            </w:tcBorders>
            <w:shd w:val="clear" w:color="000000" w:fill="FFFFFF"/>
            <w:vAlign w:val="center"/>
            <w:hideMark/>
          </w:tcPr>
          <w:p w14:paraId="7942A858" w14:textId="77777777" w:rsidR="00692AFE" w:rsidRPr="00692AFE" w:rsidRDefault="00692AFE" w:rsidP="00692AFE">
            <w:pPr>
              <w:spacing w:after="0"/>
              <w:jc w:val="right"/>
              <w:rPr>
                <w:rFonts w:ascii="Calibri" w:hAnsi="Calibri" w:cs="Arial"/>
                <w:szCs w:val="18"/>
                <w:lang w:eastAsia="en-GB"/>
              </w:rPr>
            </w:pPr>
            <w:r w:rsidRPr="00692AFE">
              <w:rPr>
                <w:rFonts w:ascii="Calibri" w:hAnsi="Calibri" w:cs="Arial"/>
                <w:szCs w:val="18"/>
                <w:lang w:eastAsia="en-GB"/>
              </w:rPr>
              <w:t xml:space="preserve">6,727 </w:t>
            </w:r>
          </w:p>
        </w:tc>
      </w:tr>
    </w:tbl>
    <w:p w14:paraId="19570A45" w14:textId="77777777" w:rsidR="002D491F" w:rsidRDefault="002D491F" w:rsidP="002D491F">
      <w:pPr>
        <w:jc w:val="both"/>
        <w:rPr>
          <w:rFonts w:asciiTheme="minorHAnsi" w:hAnsiTheme="minorHAnsi"/>
        </w:rPr>
      </w:pPr>
    </w:p>
    <w:p w14:paraId="3B31B682" w14:textId="187E479C" w:rsidR="002D491F" w:rsidRDefault="002D491F" w:rsidP="002D491F">
      <w:pPr>
        <w:jc w:val="both"/>
        <w:rPr>
          <w:rFonts w:asciiTheme="minorHAnsi" w:hAnsiTheme="minorHAnsi"/>
        </w:rPr>
      </w:pPr>
      <w:r>
        <w:rPr>
          <w:rFonts w:asciiTheme="minorHAnsi" w:hAnsiTheme="minorHAnsi"/>
        </w:rPr>
        <w:t>During the period, Guvera Australia Pty Ltd, a customer of the Group, went into administration.  Prior to the administration the Group negotiated a move of the existing debt at the time to another company within the remaining Guvera group and agreed a payment plan to recover the debt.  The payment plan has not been adhered to so the directors deem it prudent to now fully provide for this debt.</w:t>
      </w:r>
      <w:r w:rsidR="00F540F9">
        <w:rPr>
          <w:rFonts w:asciiTheme="minorHAnsi" w:hAnsiTheme="minorHAnsi"/>
        </w:rPr>
        <w:t xml:space="preserve"> The total provision in relation to Guvera</w:t>
      </w:r>
      <w:r>
        <w:rPr>
          <w:rFonts w:asciiTheme="minorHAnsi" w:hAnsiTheme="minorHAnsi"/>
        </w:rPr>
        <w:t xml:space="preserve"> </w:t>
      </w:r>
      <w:r w:rsidR="00F540F9">
        <w:rPr>
          <w:rFonts w:asciiTheme="minorHAnsi" w:hAnsiTheme="minorHAnsi"/>
        </w:rPr>
        <w:t>is £733k (2015: nil).</w:t>
      </w:r>
    </w:p>
    <w:p w14:paraId="7D3370F7" w14:textId="77777777" w:rsidR="0019742F" w:rsidRDefault="0019742F"/>
    <w:p w14:paraId="3981A878" w14:textId="77777777" w:rsidR="001F11DD" w:rsidRDefault="004B015C" w:rsidP="001F11DD">
      <w:pPr>
        <w:pStyle w:val="Heading2"/>
        <w:tabs>
          <w:tab w:val="clear" w:pos="567"/>
          <w:tab w:val="left" w:pos="709"/>
        </w:tabs>
        <w:rPr>
          <w:rFonts w:ascii="Calibri" w:hAnsi="Calibri"/>
          <w:noProof/>
          <w:color w:val="000000"/>
          <w:sz w:val="18"/>
          <w:szCs w:val="18"/>
        </w:rPr>
      </w:pPr>
      <w:r w:rsidRPr="004B015C">
        <w:rPr>
          <w:rFonts w:ascii="Calibri" w:hAnsi="Calibri"/>
          <w:noProof/>
          <w:color w:val="000000"/>
          <w:sz w:val="18"/>
          <w:szCs w:val="18"/>
        </w:rPr>
        <w:lastRenderedPageBreak/>
        <w:t>5</w:t>
      </w:r>
      <w:r>
        <w:rPr>
          <w:rFonts w:ascii="Calibri" w:hAnsi="Calibri"/>
          <w:noProof/>
          <w:color w:val="000000"/>
          <w:sz w:val="18"/>
          <w:szCs w:val="18"/>
        </w:rPr>
        <w:t>.</w:t>
      </w:r>
      <w:r>
        <w:rPr>
          <w:rFonts w:ascii="Calibri" w:hAnsi="Calibri"/>
          <w:noProof/>
          <w:color w:val="000000"/>
          <w:sz w:val="18"/>
          <w:szCs w:val="18"/>
        </w:rPr>
        <w:tab/>
        <w:t>Exceptional items</w:t>
      </w:r>
    </w:p>
    <w:tbl>
      <w:tblPr>
        <w:tblW w:w="9513" w:type="dxa"/>
        <w:tblInd w:w="93" w:type="dxa"/>
        <w:tblLook w:val="04A0" w:firstRow="1" w:lastRow="0" w:firstColumn="1" w:lastColumn="0" w:noHBand="0" w:noVBand="1"/>
      </w:tblPr>
      <w:tblGrid>
        <w:gridCol w:w="4410"/>
        <w:gridCol w:w="1559"/>
        <w:gridCol w:w="283"/>
        <w:gridCol w:w="1560"/>
        <w:gridCol w:w="283"/>
        <w:gridCol w:w="1418"/>
      </w:tblGrid>
      <w:tr w:rsidR="00731974" w:rsidRPr="00731974" w14:paraId="7065D815" w14:textId="77777777" w:rsidTr="00B71EAB">
        <w:trPr>
          <w:trHeight w:val="720"/>
        </w:trPr>
        <w:tc>
          <w:tcPr>
            <w:tcW w:w="4410" w:type="dxa"/>
            <w:tcBorders>
              <w:top w:val="nil"/>
              <w:left w:val="nil"/>
              <w:bottom w:val="nil"/>
              <w:right w:val="nil"/>
            </w:tcBorders>
            <w:shd w:val="clear" w:color="auto" w:fill="auto"/>
            <w:vAlign w:val="center"/>
            <w:hideMark/>
          </w:tcPr>
          <w:p w14:paraId="3E28DD6F" w14:textId="77777777" w:rsidR="00731974" w:rsidRPr="00731974" w:rsidRDefault="00731974" w:rsidP="00731974">
            <w:pPr>
              <w:spacing w:after="0"/>
              <w:rPr>
                <w:rFonts w:ascii="Calibri" w:hAnsi="Calibri" w:cs="Arial"/>
                <w:szCs w:val="18"/>
                <w:lang w:eastAsia="en-GB"/>
              </w:rPr>
            </w:pPr>
          </w:p>
        </w:tc>
        <w:tc>
          <w:tcPr>
            <w:tcW w:w="1559" w:type="dxa"/>
            <w:tcBorders>
              <w:top w:val="nil"/>
              <w:left w:val="nil"/>
              <w:bottom w:val="nil"/>
              <w:right w:val="nil"/>
            </w:tcBorders>
            <w:shd w:val="clear" w:color="auto" w:fill="auto"/>
            <w:vAlign w:val="bottom"/>
            <w:hideMark/>
          </w:tcPr>
          <w:p w14:paraId="40C3BCFF" w14:textId="77777777" w:rsidR="001F11DD" w:rsidRDefault="00731974" w:rsidP="001F11DD">
            <w:pPr>
              <w:spacing w:after="0"/>
              <w:jc w:val="right"/>
              <w:rPr>
                <w:rFonts w:ascii="Calibri" w:hAnsi="Calibri" w:cs="Arial"/>
                <w:b/>
                <w:bCs/>
                <w:szCs w:val="18"/>
                <w:lang w:eastAsia="en-GB"/>
              </w:rPr>
            </w:pPr>
            <w:r w:rsidRPr="00731974">
              <w:rPr>
                <w:rFonts w:ascii="Calibri" w:hAnsi="Calibri" w:cs="Arial"/>
                <w:b/>
                <w:bCs/>
                <w:szCs w:val="18"/>
                <w:lang w:eastAsia="en-GB"/>
              </w:rPr>
              <w:t>Unaudited six months ended 30 June 201</w:t>
            </w:r>
            <w:r w:rsidR="00B71EAB">
              <w:rPr>
                <w:rFonts w:ascii="Calibri" w:hAnsi="Calibri" w:cs="Arial"/>
                <w:b/>
                <w:bCs/>
                <w:szCs w:val="18"/>
                <w:lang w:eastAsia="en-GB"/>
              </w:rPr>
              <w:t>6</w:t>
            </w:r>
          </w:p>
        </w:tc>
        <w:tc>
          <w:tcPr>
            <w:tcW w:w="283" w:type="dxa"/>
            <w:tcBorders>
              <w:top w:val="nil"/>
              <w:left w:val="nil"/>
              <w:bottom w:val="nil"/>
              <w:right w:val="nil"/>
            </w:tcBorders>
            <w:shd w:val="clear" w:color="auto" w:fill="auto"/>
            <w:vAlign w:val="bottom"/>
            <w:hideMark/>
          </w:tcPr>
          <w:p w14:paraId="30365C07" w14:textId="77777777" w:rsidR="001F11DD" w:rsidRDefault="001F11DD" w:rsidP="001F11DD">
            <w:pPr>
              <w:spacing w:after="0"/>
              <w:jc w:val="right"/>
              <w:rPr>
                <w:rFonts w:ascii="Calibri" w:hAnsi="Calibri" w:cs="Arial"/>
                <w:b/>
                <w:bCs/>
                <w:szCs w:val="18"/>
                <w:lang w:eastAsia="en-GB"/>
              </w:rPr>
            </w:pPr>
          </w:p>
        </w:tc>
        <w:tc>
          <w:tcPr>
            <w:tcW w:w="1560" w:type="dxa"/>
            <w:tcBorders>
              <w:top w:val="nil"/>
              <w:left w:val="nil"/>
              <w:bottom w:val="nil"/>
              <w:right w:val="nil"/>
            </w:tcBorders>
            <w:shd w:val="clear" w:color="auto" w:fill="auto"/>
            <w:vAlign w:val="bottom"/>
            <w:hideMark/>
          </w:tcPr>
          <w:p w14:paraId="307546C5" w14:textId="77777777" w:rsidR="001F11DD" w:rsidRDefault="00731974" w:rsidP="001F11DD">
            <w:pPr>
              <w:spacing w:after="0"/>
              <w:jc w:val="right"/>
              <w:rPr>
                <w:rFonts w:ascii="Calibri" w:hAnsi="Calibri" w:cs="Arial"/>
                <w:szCs w:val="18"/>
                <w:lang w:eastAsia="en-GB"/>
              </w:rPr>
            </w:pPr>
            <w:r w:rsidRPr="00731974">
              <w:rPr>
                <w:rFonts w:ascii="Calibri" w:hAnsi="Calibri" w:cs="Arial"/>
                <w:szCs w:val="18"/>
                <w:lang w:eastAsia="en-GB"/>
              </w:rPr>
              <w:t>Unaudited six months ended 30 June 2015</w:t>
            </w:r>
          </w:p>
        </w:tc>
        <w:tc>
          <w:tcPr>
            <w:tcW w:w="283" w:type="dxa"/>
            <w:tcBorders>
              <w:top w:val="nil"/>
              <w:left w:val="nil"/>
              <w:bottom w:val="nil"/>
              <w:right w:val="nil"/>
            </w:tcBorders>
            <w:shd w:val="clear" w:color="auto" w:fill="auto"/>
            <w:vAlign w:val="bottom"/>
            <w:hideMark/>
          </w:tcPr>
          <w:p w14:paraId="1E28BF52" w14:textId="77777777" w:rsidR="001F11DD" w:rsidRDefault="001F11DD" w:rsidP="001F11DD">
            <w:pPr>
              <w:spacing w:after="0"/>
              <w:jc w:val="right"/>
              <w:rPr>
                <w:rFonts w:ascii="Calibri" w:hAnsi="Calibri" w:cs="Arial"/>
                <w:b/>
                <w:bCs/>
                <w:szCs w:val="18"/>
                <w:lang w:eastAsia="en-GB"/>
              </w:rPr>
            </w:pPr>
          </w:p>
        </w:tc>
        <w:tc>
          <w:tcPr>
            <w:tcW w:w="1418" w:type="dxa"/>
            <w:tcBorders>
              <w:top w:val="nil"/>
              <w:left w:val="nil"/>
              <w:bottom w:val="nil"/>
              <w:right w:val="nil"/>
            </w:tcBorders>
            <w:shd w:val="clear" w:color="auto" w:fill="auto"/>
            <w:vAlign w:val="bottom"/>
            <w:hideMark/>
          </w:tcPr>
          <w:p w14:paraId="1C4078C5" w14:textId="77777777" w:rsidR="001F11DD" w:rsidRDefault="00731974">
            <w:pPr>
              <w:spacing w:after="0"/>
              <w:jc w:val="right"/>
              <w:rPr>
                <w:rFonts w:ascii="Calibri" w:hAnsi="Calibri" w:cs="Arial"/>
                <w:szCs w:val="18"/>
                <w:lang w:eastAsia="en-GB"/>
              </w:rPr>
            </w:pPr>
            <w:r w:rsidRPr="00731974">
              <w:rPr>
                <w:rFonts w:ascii="Calibri" w:hAnsi="Calibri" w:cs="Arial"/>
                <w:szCs w:val="18"/>
                <w:lang w:eastAsia="en-GB"/>
              </w:rPr>
              <w:t>Audited full year ended 31 Dec 2015</w:t>
            </w:r>
          </w:p>
        </w:tc>
      </w:tr>
      <w:tr w:rsidR="00731974" w:rsidRPr="00731974" w14:paraId="5CAC973A" w14:textId="77777777" w:rsidTr="00731974">
        <w:trPr>
          <w:trHeight w:val="240"/>
        </w:trPr>
        <w:tc>
          <w:tcPr>
            <w:tcW w:w="4410" w:type="dxa"/>
            <w:tcBorders>
              <w:top w:val="nil"/>
              <w:left w:val="nil"/>
              <w:bottom w:val="nil"/>
              <w:right w:val="nil"/>
            </w:tcBorders>
            <w:shd w:val="clear" w:color="auto" w:fill="auto"/>
            <w:vAlign w:val="center"/>
            <w:hideMark/>
          </w:tcPr>
          <w:p w14:paraId="0E1F9884" w14:textId="77777777" w:rsidR="00731974" w:rsidRPr="00731974" w:rsidRDefault="00731974" w:rsidP="00731974">
            <w:pPr>
              <w:spacing w:after="0"/>
              <w:rPr>
                <w:rFonts w:ascii="Calibri" w:hAnsi="Calibri" w:cs="Arial"/>
                <w:b/>
                <w:bCs/>
                <w:szCs w:val="18"/>
                <w:lang w:eastAsia="en-GB"/>
              </w:rPr>
            </w:pPr>
          </w:p>
        </w:tc>
        <w:tc>
          <w:tcPr>
            <w:tcW w:w="1559" w:type="dxa"/>
            <w:tcBorders>
              <w:top w:val="nil"/>
              <w:left w:val="nil"/>
              <w:bottom w:val="nil"/>
              <w:right w:val="nil"/>
            </w:tcBorders>
            <w:shd w:val="clear" w:color="auto" w:fill="auto"/>
            <w:vAlign w:val="center"/>
            <w:hideMark/>
          </w:tcPr>
          <w:p w14:paraId="6D2AAF3B" w14:textId="77777777" w:rsidR="00731974" w:rsidRPr="00731974" w:rsidRDefault="00731974" w:rsidP="00731974">
            <w:pPr>
              <w:spacing w:after="0"/>
              <w:jc w:val="right"/>
              <w:rPr>
                <w:rFonts w:ascii="Calibri" w:hAnsi="Calibri" w:cs="Arial"/>
                <w:b/>
                <w:bCs/>
                <w:szCs w:val="18"/>
                <w:lang w:eastAsia="en-GB"/>
              </w:rPr>
            </w:pPr>
            <w:r w:rsidRPr="00731974">
              <w:rPr>
                <w:rFonts w:ascii="Calibri" w:hAnsi="Calibri" w:cs="Arial"/>
                <w:b/>
                <w:bCs/>
                <w:szCs w:val="18"/>
                <w:lang w:eastAsia="en-GB"/>
              </w:rPr>
              <w:t>£'000</w:t>
            </w:r>
          </w:p>
        </w:tc>
        <w:tc>
          <w:tcPr>
            <w:tcW w:w="283" w:type="dxa"/>
            <w:tcBorders>
              <w:top w:val="nil"/>
              <w:left w:val="nil"/>
              <w:bottom w:val="nil"/>
              <w:right w:val="nil"/>
            </w:tcBorders>
            <w:shd w:val="clear" w:color="auto" w:fill="auto"/>
            <w:vAlign w:val="center"/>
            <w:hideMark/>
          </w:tcPr>
          <w:p w14:paraId="19915BE1" w14:textId="77777777" w:rsidR="00731974" w:rsidRPr="00731974" w:rsidRDefault="00731974" w:rsidP="00731974">
            <w:pPr>
              <w:spacing w:after="0"/>
              <w:jc w:val="right"/>
              <w:rPr>
                <w:rFonts w:ascii="Calibri" w:hAnsi="Calibri" w:cs="Arial"/>
                <w:b/>
                <w:bCs/>
                <w:szCs w:val="18"/>
                <w:lang w:eastAsia="en-GB"/>
              </w:rPr>
            </w:pPr>
          </w:p>
        </w:tc>
        <w:tc>
          <w:tcPr>
            <w:tcW w:w="1560" w:type="dxa"/>
            <w:tcBorders>
              <w:top w:val="nil"/>
              <w:left w:val="nil"/>
              <w:bottom w:val="nil"/>
              <w:right w:val="nil"/>
            </w:tcBorders>
            <w:shd w:val="clear" w:color="auto" w:fill="auto"/>
            <w:vAlign w:val="center"/>
            <w:hideMark/>
          </w:tcPr>
          <w:p w14:paraId="787E7A83"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£'000</w:t>
            </w:r>
          </w:p>
        </w:tc>
        <w:tc>
          <w:tcPr>
            <w:tcW w:w="283" w:type="dxa"/>
            <w:tcBorders>
              <w:top w:val="nil"/>
              <w:left w:val="nil"/>
              <w:bottom w:val="nil"/>
              <w:right w:val="nil"/>
            </w:tcBorders>
            <w:shd w:val="clear" w:color="auto" w:fill="auto"/>
            <w:vAlign w:val="center"/>
            <w:hideMark/>
          </w:tcPr>
          <w:p w14:paraId="272EE123" w14:textId="77777777" w:rsidR="00731974" w:rsidRPr="00731974" w:rsidRDefault="00731974" w:rsidP="00731974">
            <w:pPr>
              <w:spacing w:after="0"/>
              <w:jc w:val="right"/>
              <w:rPr>
                <w:rFonts w:ascii="Calibri" w:hAnsi="Calibri" w:cs="Arial"/>
                <w:b/>
                <w:bCs/>
                <w:szCs w:val="18"/>
                <w:lang w:eastAsia="en-GB"/>
              </w:rPr>
            </w:pPr>
          </w:p>
        </w:tc>
        <w:tc>
          <w:tcPr>
            <w:tcW w:w="1418" w:type="dxa"/>
            <w:tcBorders>
              <w:top w:val="nil"/>
              <w:left w:val="nil"/>
              <w:bottom w:val="nil"/>
              <w:right w:val="nil"/>
            </w:tcBorders>
            <w:shd w:val="clear" w:color="auto" w:fill="auto"/>
            <w:vAlign w:val="center"/>
            <w:hideMark/>
          </w:tcPr>
          <w:p w14:paraId="4C7FC4C5"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£'000</w:t>
            </w:r>
          </w:p>
        </w:tc>
      </w:tr>
      <w:tr w:rsidR="00731974" w:rsidRPr="00731974" w14:paraId="774A69FA" w14:textId="77777777" w:rsidTr="00731974">
        <w:trPr>
          <w:trHeight w:val="240"/>
        </w:trPr>
        <w:tc>
          <w:tcPr>
            <w:tcW w:w="4410" w:type="dxa"/>
            <w:tcBorders>
              <w:top w:val="nil"/>
              <w:left w:val="nil"/>
              <w:bottom w:val="nil"/>
              <w:right w:val="nil"/>
            </w:tcBorders>
            <w:shd w:val="clear" w:color="auto" w:fill="auto"/>
            <w:vAlign w:val="center"/>
            <w:hideMark/>
          </w:tcPr>
          <w:p w14:paraId="643267DB" w14:textId="77777777" w:rsidR="00731974" w:rsidRPr="00731974" w:rsidRDefault="00731974" w:rsidP="00731974">
            <w:pPr>
              <w:spacing w:after="0"/>
              <w:rPr>
                <w:rFonts w:ascii="Calibri" w:hAnsi="Calibri" w:cs="Arial"/>
                <w:szCs w:val="18"/>
                <w:lang w:eastAsia="en-GB"/>
              </w:rPr>
            </w:pPr>
            <w:r w:rsidRPr="00731974">
              <w:rPr>
                <w:rFonts w:ascii="Calibri" w:hAnsi="Calibri" w:cs="Arial"/>
                <w:szCs w:val="18"/>
                <w:lang w:eastAsia="en-GB"/>
              </w:rPr>
              <w:t>Acquisition costs</w:t>
            </w:r>
          </w:p>
        </w:tc>
        <w:tc>
          <w:tcPr>
            <w:tcW w:w="1559" w:type="dxa"/>
            <w:tcBorders>
              <w:top w:val="nil"/>
              <w:left w:val="nil"/>
              <w:bottom w:val="nil"/>
              <w:right w:val="nil"/>
            </w:tcBorders>
            <w:shd w:val="clear" w:color="000000" w:fill="FFFFFF"/>
            <w:vAlign w:val="center"/>
            <w:hideMark/>
          </w:tcPr>
          <w:p w14:paraId="7CC729F3" w14:textId="77777777" w:rsidR="00731974" w:rsidRPr="00731974" w:rsidRDefault="00731974" w:rsidP="00731974">
            <w:pPr>
              <w:spacing w:after="0"/>
              <w:jc w:val="right"/>
              <w:rPr>
                <w:rFonts w:ascii="Calibri" w:hAnsi="Calibri" w:cs="Arial"/>
                <w:b/>
                <w:bCs/>
                <w:szCs w:val="18"/>
                <w:lang w:eastAsia="en-GB"/>
              </w:rPr>
            </w:pPr>
            <w:r w:rsidRPr="00731974">
              <w:rPr>
                <w:rFonts w:ascii="Calibri" w:hAnsi="Calibri" w:cs="Arial"/>
                <w:b/>
                <w:bCs/>
                <w:szCs w:val="18"/>
                <w:lang w:eastAsia="en-GB"/>
              </w:rPr>
              <w:t>(24)</w:t>
            </w:r>
          </w:p>
        </w:tc>
        <w:tc>
          <w:tcPr>
            <w:tcW w:w="283" w:type="dxa"/>
            <w:tcBorders>
              <w:top w:val="nil"/>
              <w:left w:val="nil"/>
              <w:bottom w:val="nil"/>
              <w:right w:val="nil"/>
            </w:tcBorders>
            <w:shd w:val="clear" w:color="000000" w:fill="FFFFFF"/>
            <w:vAlign w:val="center"/>
            <w:hideMark/>
          </w:tcPr>
          <w:p w14:paraId="7FA156F8"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w:t>
            </w:r>
          </w:p>
        </w:tc>
        <w:tc>
          <w:tcPr>
            <w:tcW w:w="1560" w:type="dxa"/>
            <w:tcBorders>
              <w:top w:val="nil"/>
              <w:left w:val="nil"/>
              <w:bottom w:val="nil"/>
              <w:right w:val="nil"/>
            </w:tcBorders>
            <w:shd w:val="clear" w:color="000000" w:fill="FFFFFF"/>
            <w:vAlign w:val="center"/>
            <w:hideMark/>
          </w:tcPr>
          <w:p w14:paraId="6B92667F"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xml:space="preserve">20 </w:t>
            </w:r>
          </w:p>
        </w:tc>
        <w:tc>
          <w:tcPr>
            <w:tcW w:w="283" w:type="dxa"/>
            <w:tcBorders>
              <w:top w:val="nil"/>
              <w:left w:val="nil"/>
              <w:bottom w:val="nil"/>
              <w:right w:val="nil"/>
            </w:tcBorders>
            <w:shd w:val="clear" w:color="000000" w:fill="FFFFFF"/>
            <w:vAlign w:val="center"/>
            <w:hideMark/>
          </w:tcPr>
          <w:p w14:paraId="6A730075"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w:t>
            </w:r>
          </w:p>
        </w:tc>
        <w:tc>
          <w:tcPr>
            <w:tcW w:w="1418" w:type="dxa"/>
            <w:tcBorders>
              <w:top w:val="nil"/>
              <w:left w:val="nil"/>
              <w:bottom w:val="nil"/>
              <w:right w:val="nil"/>
            </w:tcBorders>
            <w:shd w:val="clear" w:color="000000" w:fill="FFFFFF"/>
            <w:vAlign w:val="center"/>
            <w:hideMark/>
          </w:tcPr>
          <w:p w14:paraId="58E57F1D"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(16)</w:t>
            </w:r>
          </w:p>
        </w:tc>
      </w:tr>
      <w:tr w:rsidR="00731974" w:rsidRPr="00731974" w14:paraId="143FAA6A" w14:textId="77777777" w:rsidTr="00731974">
        <w:trPr>
          <w:trHeight w:val="240"/>
        </w:trPr>
        <w:tc>
          <w:tcPr>
            <w:tcW w:w="4410" w:type="dxa"/>
            <w:tcBorders>
              <w:top w:val="nil"/>
              <w:left w:val="nil"/>
              <w:bottom w:val="nil"/>
              <w:right w:val="nil"/>
            </w:tcBorders>
            <w:shd w:val="clear" w:color="auto" w:fill="auto"/>
            <w:vAlign w:val="center"/>
            <w:hideMark/>
          </w:tcPr>
          <w:p w14:paraId="7CD091FB" w14:textId="77777777" w:rsidR="00731974" w:rsidRPr="00731974" w:rsidRDefault="00731974" w:rsidP="00731974">
            <w:pPr>
              <w:spacing w:after="0"/>
              <w:rPr>
                <w:rFonts w:ascii="Calibri" w:hAnsi="Calibri" w:cs="Arial"/>
                <w:szCs w:val="18"/>
                <w:lang w:eastAsia="en-GB"/>
              </w:rPr>
            </w:pPr>
            <w:r w:rsidRPr="00731974">
              <w:rPr>
                <w:rFonts w:ascii="Calibri" w:hAnsi="Calibri" w:cs="Arial"/>
                <w:szCs w:val="18"/>
                <w:lang w:eastAsia="en-GB"/>
              </w:rPr>
              <w:t>Restructuring costs</w:t>
            </w:r>
          </w:p>
        </w:tc>
        <w:tc>
          <w:tcPr>
            <w:tcW w:w="1559" w:type="dxa"/>
            <w:tcBorders>
              <w:top w:val="nil"/>
              <w:left w:val="nil"/>
              <w:bottom w:val="nil"/>
              <w:right w:val="nil"/>
            </w:tcBorders>
            <w:shd w:val="clear" w:color="000000" w:fill="FFFFFF"/>
            <w:vAlign w:val="center"/>
            <w:hideMark/>
          </w:tcPr>
          <w:p w14:paraId="687D3541" w14:textId="77777777" w:rsidR="00731974" w:rsidRPr="00731974" w:rsidRDefault="00731974" w:rsidP="00731974">
            <w:pPr>
              <w:spacing w:after="0"/>
              <w:jc w:val="right"/>
              <w:rPr>
                <w:rFonts w:ascii="Calibri" w:hAnsi="Calibri" w:cs="Arial"/>
                <w:b/>
                <w:bCs/>
                <w:szCs w:val="18"/>
                <w:lang w:eastAsia="en-GB"/>
              </w:rPr>
            </w:pPr>
            <w:r w:rsidRPr="00731974">
              <w:rPr>
                <w:rFonts w:ascii="Calibri" w:hAnsi="Calibri" w:cs="Arial"/>
                <w:b/>
                <w:bCs/>
                <w:szCs w:val="18"/>
                <w:lang w:eastAsia="en-GB"/>
              </w:rPr>
              <w:t>(92)</w:t>
            </w:r>
          </w:p>
        </w:tc>
        <w:tc>
          <w:tcPr>
            <w:tcW w:w="283" w:type="dxa"/>
            <w:tcBorders>
              <w:top w:val="nil"/>
              <w:left w:val="nil"/>
              <w:bottom w:val="nil"/>
              <w:right w:val="nil"/>
            </w:tcBorders>
            <w:shd w:val="clear" w:color="000000" w:fill="FFFFFF"/>
            <w:vAlign w:val="center"/>
            <w:hideMark/>
          </w:tcPr>
          <w:p w14:paraId="2670EE2F"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w:t>
            </w:r>
          </w:p>
        </w:tc>
        <w:tc>
          <w:tcPr>
            <w:tcW w:w="1560" w:type="dxa"/>
            <w:tcBorders>
              <w:top w:val="nil"/>
              <w:left w:val="nil"/>
              <w:bottom w:val="nil"/>
              <w:right w:val="nil"/>
            </w:tcBorders>
            <w:shd w:val="clear" w:color="000000" w:fill="FFFFFF"/>
            <w:vAlign w:val="center"/>
            <w:hideMark/>
          </w:tcPr>
          <w:p w14:paraId="556E464F"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(86)</w:t>
            </w:r>
          </w:p>
        </w:tc>
        <w:tc>
          <w:tcPr>
            <w:tcW w:w="283" w:type="dxa"/>
            <w:tcBorders>
              <w:top w:val="nil"/>
              <w:left w:val="nil"/>
              <w:bottom w:val="nil"/>
              <w:right w:val="nil"/>
            </w:tcBorders>
            <w:shd w:val="clear" w:color="000000" w:fill="FFFFFF"/>
            <w:vAlign w:val="center"/>
            <w:hideMark/>
          </w:tcPr>
          <w:p w14:paraId="028C1840"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w:t>
            </w:r>
          </w:p>
        </w:tc>
        <w:tc>
          <w:tcPr>
            <w:tcW w:w="1418" w:type="dxa"/>
            <w:tcBorders>
              <w:top w:val="nil"/>
              <w:left w:val="nil"/>
              <w:bottom w:val="nil"/>
              <w:right w:val="nil"/>
            </w:tcBorders>
            <w:shd w:val="clear" w:color="000000" w:fill="FFFFFF"/>
            <w:vAlign w:val="center"/>
            <w:hideMark/>
          </w:tcPr>
          <w:p w14:paraId="538AF0AB"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(112)</w:t>
            </w:r>
          </w:p>
        </w:tc>
      </w:tr>
      <w:tr w:rsidR="00731974" w:rsidRPr="00731974" w14:paraId="6928D5D1" w14:textId="77777777" w:rsidTr="00731974">
        <w:trPr>
          <w:trHeight w:val="255"/>
        </w:trPr>
        <w:tc>
          <w:tcPr>
            <w:tcW w:w="4410" w:type="dxa"/>
            <w:tcBorders>
              <w:top w:val="nil"/>
              <w:left w:val="nil"/>
              <w:bottom w:val="nil"/>
              <w:right w:val="nil"/>
            </w:tcBorders>
            <w:shd w:val="clear" w:color="auto" w:fill="auto"/>
            <w:vAlign w:val="center"/>
            <w:hideMark/>
          </w:tcPr>
          <w:p w14:paraId="69796A44" w14:textId="77777777" w:rsidR="00731974" w:rsidRPr="00731974" w:rsidRDefault="00731974" w:rsidP="00731974">
            <w:pPr>
              <w:spacing w:after="0"/>
              <w:rPr>
                <w:rFonts w:ascii="Calibri" w:hAnsi="Calibri" w:cs="Arial"/>
                <w:szCs w:val="18"/>
                <w:lang w:eastAsia="en-GB"/>
              </w:rPr>
            </w:pPr>
          </w:p>
        </w:tc>
        <w:tc>
          <w:tcPr>
            <w:tcW w:w="1559" w:type="dxa"/>
            <w:tcBorders>
              <w:top w:val="single" w:sz="4" w:space="0" w:color="auto"/>
              <w:left w:val="nil"/>
              <w:bottom w:val="double" w:sz="6" w:space="0" w:color="auto"/>
              <w:right w:val="nil"/>
            </w:tcBorders>
            <w:shd w:val="clear" w:color="000000" w:fill="FFFFFF"/>
            <w:vAlign w:val="center"/>
            <w:hideMark/>
          </w:tcPr>
          <w:p w14:paraId="71EE90A9" w14:textId="77777777" w:rsidR="00731974" w:rsidRPr="00731974" w:rsidRDefault="00731974" w:rsidP="002D491F">
            <w:pPr>
              <w:spacing w:after="0"/>
              <w:jc w:val="right"/>
              <w:rPr>
                <w:rFonts w:ascii="Calibri" w:hAnsi="Calibri" w:cs="Arial"/>
                <w:b/>
                <w:bCs/>
                <w:szCs w:val="18"/>
                <w:lang w:eastAsia="en-GB"/>
              </w:rPr>
            </w:pPr>
            <w:r w:rsidRPr="00731974">
              <w:rPr>
                <w:rFonts w:ascii="Calibri" w:hAnsi="Calibri" w:cs="Arial"/>
                <w:b/>
                <w:bCs/>
                <w:szCs w:val="18"/>
                <w:lang w:eastAsia="en-GB"/>
              </w:rPr>
              <w:t>(</w:t>
            </w:r>
            <w:r w:rsidR="002D491F">
              <w:rPr>
                <w:rFonts w:ascii="Calibri" w:hAnsi="Calibri" w:cs="Arial"/>
                <w:b/>
                <w:bCs/>
                <w:szCs w:val="18"/>
                <w:lang w:eastAsia="en-GB"/>
              </w:rPr>
              <w:t>116</w:t>
            </w:r>
            <w:r w:rsidRPr="00731974">
              <w:rPr>
                <w:rFonts w:ascii="Calibri" w:hAnsi="Calibri" w:cs="Arial"/>
                <w:b/>
                <w:bCs/>
                <w:szCs w:val="18"/>
                <w:lang w:eastAsia="en-GB"/>
              </w:rPr>
              <w:t>)</w:t>
            </w:r>
          </w:p>
        </w:tc>
        <w:tc>
          <w:tcPr>
            <w:tcW w:w="283" w:type="dxa"/>
            <w:tcBorders>
              <w:top w:val="nil"/>
              <w:left w:val="nil"/>
              <w:bottom w:val="nil"/>
              <w:right w:val="nil"/>
            </w:tcBorders>
            <w:shd w:val="clear" w:color="000000" w:fill="FFFFFF"/>
            <w:vAlign w:val="center"/>
            <w:hideMark/>
          </w:tcPr>
          <w:p w14:paraId="68309B0E"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w:t>
            </w:r>
          </w:p>
        </w:tc>
        <w:tc>
          <w:tcPr>
            <w:tcW w:w="1560" w:type="dxa"/>
            <w:tcBorders>
              <w:top w:val="single" w:sz="4" w:space="0" w:color="auto"/>
              <w:left w:val="nil"/>
              <w:bottom w:val="double" w:sz="6" w:space="0" w:color="auto"/>
              <w:right w:val="nil"/>
            </w:tcBorders>
            <w:shd w:val="clear" w:color="000000" w:fill="FFFFFF"/>
            <w:vAlign w:val="center"/>
            <w:hideMark/>
          </w:tcPr>
          <w:p w14:paraId="2BB94513"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(66)</w:t>
            </w:r>
          </w:p>
        </w:tc>
        <w:tc>
          <w:tcPr>
            <w:tcW w:w="283" w:type="dxa"/>
            <w:tcBorders>
              <w:top w:val="nil"/>
              <w:left w:val="nil"/>
              <w:bottom w:val="nil"/>
              <w:right w:val="nil"/>
            </w:tcBorders>
            <w:shd w:val="clear" w:color="000000" w:fill="FFFFFF"/>
            <w:vAlign w:val="center"/>
            <w:hideMark/>
          </w:tcPr>
          <w:p w14:paraId="7D9BAD56"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 </w:t>
            </w:r>
          </w:p>
        </w:tc>
        <w:tc>
          <w:tcPr>
            <w:tcW w:w="1418" w:type="dxa"/>
            <w:tcBorders>
              <w:top w:val="single" w:sz="4" w:space="0" w:color="auto"/>
              <w:left w:val="nil"/>
              <w:bottom w:val="double" w:sz="6" w:space="0" w:color="auto"/>
              <w:right w:val="nil"/>
            </w:tcBorders>
            <w:shd w:val="clear" w:color="000000" w:fill="FFFFFF"/>
            <w:vAlign w:val="center"/>
            <w:hideMark/>
          </w:tcPr>
          <w:p w14:paraId="5855A85D" w14:textId="77777777" w:rsidR="00731974" w:rsidRPr="00731974" w:rsidRDefault="00731974" w:rsidP="00731974">
            <w:pPr>
              <w:spacing w:after="0"/>
              <w:jc w:val="right"/>
              <w:rPr>
                <w:rFonts w:ascii="Calibri" w:hAnsi="Calibri" w:cs="Arial"/>
                <w:szCs w:val="18"/>
                <w:lang w:eastAsia="en-GB"/>
              </w:rPr>
            </w:pPr>
            <w:r w:rsidRPr="00731974">
              <w:rPr>
                <w:rFonts w:ascii="Calibri" w:hAnsi="Calibri" w:cs="Arial"/>
                <w:szCs w:val="18"/>
                <w:lang w:eastAsia="en-GB"/>
              </w:rPr>
              <w:t>(128)</w:t>
            </w:r>
          </w:p>
        </w:tc>
      </w:tr>
    </w:tbl>
    <w:p w14:paraId="5E9FB18E" w14:textId="77777777" w:rsidR="00784641" w:rsidRPr="00B64527" w:rsidRDefault="00784641" w:rsidP="00784641">
      <w:pPr>
        <w:rPr>
          <w:highlight w:val="yellow"/>
        </w:rPr>
      </w:pPr>
    </w:p>
    <w:p w14:paraId="2F6B6D61" w14:textId="77777777" w:rsidR="009928C6" w:rsidRDefault="009928C6">
      <w:pPr>
        <w:jc w:val="both"/>
        <w:rPr>
          <w:rFonts w:ascii="Calibri" w:hAnsi="Calibri"/>
          <w:noProof/>
          <w:color w:val="000000"/>
          <w:szCs w:val="18"/>
          <w:highlight w:val="yellow"/>
        </w:rPr>
      </w:pPr>
    </w:p>
    <w:p w14:paraId="474FDF14" w14:textId="77777777" w:rsidR="009928C6" w:rsidRDefault="00490B6E">
      <w:pPr>
        <w:jc w:val="both"/>
        <w:rPr>
          <w:rFonts w:ascii="Calibri" w:hAnsi="Calibri"/>
          <w:noProof/>
          <w:color w:val="000000"/>
          <w:szCs w:val="18"/>
        </w:rPr>
      </w:pPr>
      <w:r w:rsidRPr="00490B6E">
        <w:rPr>
          <w:rFonts w:ascii="Calibri" w:hAnsi="Calibri"/>
          <w:b/>
          <w:noProof/>
          <w:color w:val="000000"/>
          <w:szCs w:val="18"/>
        </w:rPr>
        <w:t>6.</w:t>
      </w:r>
      <w:r w:rsidRPr="00490B6E">
        <w:rPr>
          <w:rFonts w:ascii="Calibri" w:hAnsi="Calibri"/>
          <w:b/>
          <w:noProof/>
          <w:color w:val="000000"/>
          <w:szCs w:val="18"/>
        </w:rPr>
        <w:tab/>
        <w:t>Acquisition</w:t>
      </w:r>
    </w:p>
    <w:p w14:paraId="5E2DEEFC" w14:textId="77777777" w:rsidR="002E5130" w:rsidRDefault="002E5130" w:rsidP="002E5130">
      <w:pPr>
        <w:pStyle w:val="Heading2"/>
        <w:tabs>
          <w:tab w:val="clear" w:pos="567"/>
          <w:tab w:val="left" w:pos="0"/>
        </w:tabs>
        <w:spacing w:after="0"/>
        <w:jc w:val="both"/>
        <w:rPr>
          <w:rFonts w:asciiTheme="minorHAnsi" w:hAnsiTheme="minorHAnsi"/>
          <w:szCs w:val="22"/>
        </w:rPr>
      </w:pPr>
      <w:r w:rsidRPr="004B015C">
        <w:rPr>
          <w:rFonts w:asciiTheme="minorHAnsi" w:hAnsiTheme="minorHAnsi"/>
          <w:b w:val="0"/>
          <w:bCs w:val="0"/>
          <w:iCs w:val="0"/>
          <w:sz w:val="18"/>
          <w:szCs w:val="22"/>
        </w:rPr>
        <w:t xml:space="preserve">On </w:t>
      </w:r>
      <w:r>
        <w:rPr>
          <w:rFonts w:asciiTheme="minorHAnsi" w:hAnsiTheme="minorHAnsi"/>
          <w:b w:val="0"/>
          <w:bCs w:val="0"/>
          <w:iCs w:val="0"/>
          <w:sz w:val="18"/>
          <w:szCs w:val="22"/>
        </w:rPr>
        <w:t>08</w:t>
      </w:r>
      <w:r w:rsidRPr="004B015C">
        <w:rPr>
          <w:rFonts w:asciiTheme="minorHAnsi" w:hAnsiTheme="minorHAnsi"/>
          <w:b w:val="0"/>
          <w:bCs w:val="0"/>
          <w:iCs w:val="0"/>
          <w:sz w:val="18"/>
          <w:szCs w:val="22"/>
        </w:rPr>
        <w:t xml:space="preserve"> </w:t>
      </w:r>
      <w:r>
        <w:rPr>
          <w:rFonts w:asciiTheme="minorHAnsi" w:hAnsiTheme="minorHAnsi"/>
          <w:b w:val="0"/>
          <w:bCs w:val="0"/>
          <w:iCs w:val="0"/>
          <w:sz w:val="18"/>
          <w:szCs w:val="22"/>
        </w:rPr>
        <w:t>April</w:t>
      </w:r>
      <w:r w:rsidRPr="004B015C">
        <w:rPr>
          <w:rFonts w:asciiTheme="minorHAnsi" w:hAnsiTheme="minorHAnsi"/>
          <w:b w:val="0"/>
          <w:bCs w:val="0"/>
          <w:iCs w:val="0"/>
          <w:sz w:val="18"/>
          <w:szCs w:val="22"/>
        </w:rPr>
        <w:t xml:space="preserve"> 201</w:t>
      </w:r>
      <w:r>
        <w:rPr>
          <w:rFonts w:asciiTheme="minorHAnsi" w:hAnsiTheme="minorHAnsi"/>
          <w:b w:val="0"/>
          <w:bCs w:val="0"/>
          <w:iCs w:val="0"/>
          <w:sz w:val="18"/>
          <w:szCs w:val="22"/>
        </w:rPr>
        <w:t>6</w:t>
      </w:r>
      <w:r w:rsidRPr="004B015C">
        <w:rPr>
          <w:rFonts w:asciiTheme="minorHAnsi" w:hAnsiTheme="minorHAnsi"/>
          <w:b w:val="0"/>
          <w:bCs w:val="0"/>
          <w:iCs w:val="0"/>
          <w:sz w:val="18"/>
          <w:szCs w:val="22"/>
        </w:rPr>
        <w:t xml:space="preserve">, </w:t>
      </w:r>
      <w:r w:rsidRPr="00FF30F5">
        <w:rPr>
          <w:rFonts w:asciiTheme="minorHAnsi" w:hAnsiTheme="minorHAnsi"/>
          <w:b w:val="0"/>
          <w:sz w:val="18"/>
        </w:rPr>
        <w:t>7digital Group plc acquired a French software company Snowite SAS</w:t>
      </w:r>
      <w:r>
        <w:rPr>
          <w:rFonts w:asciiTheme="minorHAnsi" w:hAnsiTheme="minorHAnsi"/>
          <w:b w:val="0"/>
          <w:bCs w:val="0"/>
          <w:iCs w:val="0"/>
          <w:sz w:val="18"/>
          <w:szCs w:val="22"/>
        </w:rPr>
        <w:t xml:space="preserve"> out of administration. </w:t>
      </w:r>
      <w:r w:rsidRPr="004B015C">
        <w:rPr>
          <w:rFonts w:asciiTheme="minorHAnsi" w:hAnsiTheme="minorHAnsi"/>
          <w:b w:val="0"/>
          <w:bCs w:val="0"/>
          <w:iCs w:val="0"/>
          <w:sz w:val="18"/>
          <w:szCs w:val="22"/>
        </w:rPr>
        <w:t>The amounts recognised in respect of the identifiable assets acquired and liabilities assumed are as set out in the table below:</w:t>
      </w:r>
    </w:p>
    <w:p w14:paraId="233628E4" w14:textId="77777777" w:rsidR="009928C6" w:rsidRDefault="009928C6"/>
    <w:tbl>
      <w:tblPr>
        <w:tblW w:w="9513" w:type="dxa"/>
        <w:tblInd w:w="93" w:type="dxa"/>
        <w:tblLook w:val="04A0" w:firstRow="1" w:lastRow="0" w:firstColumn="1" w:lastColumn="0" w:noHBand="0" w:noVBand="1"/>
      </w:tblPr>
      <w:tblGrid>
        <w:gridCol w:w="4410"/>
        <w:gridCol w:w="1559"/>
        <w:gridCol w:w="283"/>
        <w:gridCol w:w="1560"/>
        <w:gridCol w:w="283"/>
        <w:gridCol w:w="1418"/>
      </w:tblGrid>
      <w:tr w:rsidR="00F1385E" w:rsidRPr="00416C4D" w14:paraId="67F87382" w14:textId="77777777" w:rsidTr="00731974">
        <w:trPr>
          <w:trHeight w:val="255"/>
        </w:trPr>
        <w:tc>
          <w:tcPr>
            <w:tcW w:w="4410" w:type="dxa"/>
            <w:tcBorders>
              <w:top w:val="nil"/>
              <w:left w:val="nil"/>
              <w:bottom w:val="nil"/>
              <w:right w:val="nil"/>
            </w:tcBorders>
            <w:shd w:val="clear" w:color="000000" w:fill="FFFFFF"/>
            <w:noWrap/>
            <w:vAlign w:val="bottom"/>
            <w:hideMark/>
          </w:tcPr>
          <w:p w14:paraId="6FCB8984"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 </w:t>
            </w:r>
          </w:p>
        </w:tc>
        <w:tc>
          <w:tcPr>
            <w:tcW w:w="1559" w:type="dxa"/>
            <w:tcBorders>
              <w:top w:val="nil"/>
              <w:left w:val="nil"/>
              <w:bottom w:val="nil"/>
              <w:right w:val="nil"/>
            </w:tcBorders>
            <w:shd w:val="clear" w:color="000000" w:fill="FFFFFF"/>
            <w:vAlign w:val="bottom"/>
            <w:hideMark/>
          </w:tcPr>
          <w:p w14:paraId="6E679339" w14:textId="77777777" w:rsidR="004D32EF" w:rsidRPr="00B71EAB" w:rsidRDefault="004D32EF" w:rsidP="00F1385E">
            <w:pPr>
              <w:spacing w:after="0"/>
              <w:jc w:val="right"/>
              <w:rPr>
                <w:rFonts w:ascii="Calibri" w:hAnsi="Calibri" w:cs="Arial"/>
                <w:bCs/>
                <w:szCs w:val="18"/>
                <w:lang w:eastAsia="en-GB"/>
              </w:rPr>
            </w:pPr>
          </w:p>
          <w:p w14:paraId="1687DEBB" w14:textId="77777777" w:rsidR="00F1385E" w:rsidRPr="00B71EAB" w:rsidRDefault="00A216EF" w:rsidP="00F1385E">
            <w:pPr>
              <w:spacing w:after="0"/>
              <w:jc w:val="right"/>
              <w:rPr>
                <w:rFonts w:ascii="Calibri" w:hAnsi="Calibri" w:cs="Arial"/>
                <w:bCs/>
                <w:szCs w:val="18"/>
                <w:lang w:eastAsia="en-GB"/>
              </w:rPr>
            </w:pPr>
            <w:r>
              <w:rPr>
                <w:rFonts w:ascii="Calibri" w:hAnsi="Calibri" w:cs="Arial"/>
                <w:bCs/>
                <w:szCs w:val="18"/>
                <w:lang w:eastAsia="en-GB"/>
              </w:rPr>
              <w:t xml:space="preserve">31 Mar </w:t>
            </w:r>
            <w:r w:rsidR="001F11DD" w:rsidRPr="001F11DD">
              <w:rPr>
                <w:rFonts w:ascii="Calibri" w:hAnsi="Calibri" w:cs="Arial"/>
                <w:bCs/>
                <w:szCs w:val="18"/>
                <w:lang w:eastAsia="en-GB"/>
              </w:rPr>
              <w:t>2016</w:t>
            </w:r>
          </w:p>
        </w:tc>
        <w:tc>
          <w:tcPr>
            <w:tcW w:w="283" w:type="dxa"/>
            <w:tcBorders>
              <w:top w:val="nil"/>
              <w:left w:val="nil"/>
              <w:bottom w:val="nil"/>
              <w:right w:val="nil"/>
            </w:tcBorders>
            <w:shd w:val="clear" w:color="000000" w:fill="FFFFFF"/>
            <w:vAlign w:val="bottom"/>
            <w:hideMark/>
          </w:tcPr>
          <w:p w14:paraId="75786A7F" w14:textId="77777777" w:rsidR="00F1385E" w:rsidRPr="00B71EAB" w:rsidRDefault="001F11DD" w:rsidP="00F1385E">
            <w:pPr>
              <w:spacing w:after="0"/>
              <w:jc w:val="right"/>
              <w:rPr>
                <w:rFonts w:ascii="Calibri" w:hAnsi="Calibri" w:cs="Arial"/>
                <w:bCs/>
                <w:szCs w:val="18"/>
                <w:lang w:eastAsia="en-GB"/>
              </w:rPr>
            </w:pPr>
            <w:r w:rsidRPr="001F11DD">
              <w:rPr>
                <w:rFonts w:ascii="Calibri" w:hAnsi="Calibri" w:cs="Arial"/>
                <w:bCs/>
                <w:szCs w:val="18"/>
                <w:lang w:eastAsia="en-GB"/>
              </w:rPr>
              <w:t> </w:t>
            </w:r>
          </w:p>
        </w:tc>
        <w:tc>
          <w:tcPr>
            <w:tcW w:w="1560" w:type="dxa"/>
            <w:tcBorders>
              <w:top w:val="nil"/>
              <w:left w:val="nil"/>
              <w:bottom w:val="nil"/>
              <w:right w:val="nil"/>
            </w:tcBorders>
            <w:shd w:val="clear" w:color="000000" w:fill="FFFFFF"/>
            <w:noWrap/>
            <w:vAlign w:val="bottom"/>
            <w:hideMark/>
          </w:tcPr>
          <w:p w14:paraId="279A7DAE" w14:textId="77777777" w:rsidR="00F1385E" w:rsidRPr="00B71EAB" w:rsidRDefault="001F11DD" w:rsidP="00F1385E">
            <w:pPr>
              <w:spacing w:after="0"/>
              <w:jc w:val="right"/>
              <w:rPr>
                <w:rFonts w:ascii="Calibri" w:hAnsi="Calibri" w:cs="Arial"/>
                <w:bCs/>
                <w:szCs w:val="18"/>
                <w:lang w:eastAsia="en-GB"/>
              </w:rPr>
            </w:pPr>
            <w:r w:rsidRPr="001F11DD">
              <w:rPr>
                <w:rFonts w:ascii="Calibri" w:hAnsi="Calibri" w:cs="Arial"/>
                <w:bCs/>
                <w:szCs w:val="18"/>
                <w:lang w:eastAsia="en-GB"/>
              </w:rPr>
              <w:t xml:space="preserve"> Fair Value Adjustment </w:t>
            </w:r>
          </w:p>
        </w:tc>
        <w:tc>
          <w:tcPr>
            <w:tcW w:w="283" w:type="dxa"/>
            <w:tcBorders>
              <w:top w:val="nil"/>
              <w:left w:val="nil"/>
              <w:bottom w:val="nil"/>
              <w:right w:val="nil"/>
            </w:tcBorders>
            <w:shd w:val="clear" w:color="000000" w:fill="FFFFFF"/>
            <w:noWrap/>
            <w:vAlign w:val="bottom"/>
            <w:hideMark/>
          </w:tcPr>
          <w:p w14:paraId="6CD43348"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w:t>
            </w:r>
          </w:p>
        </w:tc>
        <w:tc>
          <w:tcPr>
            <w:tcW w:w="1418" w:type="dxa"/>
            <w:tcBorders>
              <w:top w:val="nil"/>
              <w:left w:val="nil"/>
              <w:bottom w:val="nil"/>
              <w:right w:val="nil"/>
            </w:tcBorders>
            <w:shd w:val="clear" w:color="000000" w:fill="FFFFFF"/>
            <w:noWrap/>
            <w:vAlign w:val="bottom"/>
            <w:hideMark/>
          </w:tcPr>
          <w:p w14:paraId="23C03E67" w14:textId="77777777" w:rsidR="00A216EF"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 Adjusted</w:t>
            </w:r>
            <w:r w:rsidR="00B71EAB">
              <w:rPr>
                <w:rFonts w:ascii="Calibri" w:hAnsi="Calibri" w:cs="Arial"/>
                <w:b/>
                <w:bCs/>
                <w:szCs w:val="18"/>
                <w:lang w:eastAsia="en-GB"/>
              </w:rPr>
              <w:t xml:space="preserve"> a</w:t>
            </w:r>
            <w:r w:rsidR="00A216EF">
              <w:rPr>
                <w:rFonts w:ascii="Calibri" w:hAnsi="Calibri" w:cs="Arial"/>
                <w:b/>
                <w:bCs/>
                <w:szCs w:val="18"/>
                <w:lang w:eastAsia="en-GB"/>
              </w:rPr>
              <w:t>t</w:t>
            </w:r>
          </w:p>
          <w:p w14:paraId="2126C8F7" w14:textId="77777777" w:rsidR="001F11DD" w:rsidRDefault="00B71EAB">
            <w:pPr>
              <w:spacing w:after="0"/>
              <w:jc w:val="right"/>
              <w:rPr>
                <w:rFonts w:ascii="Calibri" w:hAnsi="Calibri" w:cs="Arial"/>
                <w:b/>
                <w:bCs/>
                <w:szCs w:val="18"/>
                <w:lang w:eastAsia="en-GB"/>
              </w:rPr>
            </w:pPr>
            <w:r>
              <w:rPr>
                <w:rFonts w:ascii="Calibri" w:hAnsi="Calibri" w:cs="Arial"/>
                <w:b/>
                <w:bCs/>
                <w:szCs w:val="18"/>
                <w:lang w:eastAsia="en-GB"/>
              </w:rPr>
              <w:t>30 Jun 2016</w:t>
            </w:r>
            <w:r w:rsidR="00DE74D8">
              <w:rPr>
                <w:rFonts w:ascii="Calibri" w:hAnsi="Calibri" w:cs="Arial"/>
                <w:b/>
                <w:bCs/>
                <w:szCs w:val="18"/>
                <w:lang w:eastAsia="en-GB"/>
              </w:rPr>
              <w:t xml:space="preserve"> </w:t>
            </w:r>
          </w:p>
        </w:tc>
      </w:tr>
      <w:tr w:rsidR="00F1385E" w:rsidRPr="00416C4D" w14:paraId="13CC45CA" w14:textId="77777777" w:rsidTr="00731974">
        <w:trPr>
          <w:trHeight w:val="255"/>
        </w:trPr>
        <w:tc>
          <w:tcPr>
            <w:tcW w:w="4410" w:type="dxa"/>
            <w:tcBorders>
              <w:top w:val="nil"/>
              <w:left w:val="nil"/>
              <w:bottom w:val="nil"/>
              <w:right w:val="nil"/>
            </w:tcBorders>
            <w:shd w:val="clear" w:color="000000" w:fill="FFFFFF"/>
            <w:noWrap/>
            <w:vAlign w:val="bottom"/>
            <w:hideMark/>
          </w:tcPr>
          <w:p w14:paraId="417442E1"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 </w:t>
            </w:r>
          </w:p>
        </w:tc>
        <w:tc>
          <w:tcPr>
            <w:tcW w:w="1559" w:type="dxa"/>
            <w:tcBorders>
              <w:top w:val="nil"/>
              <w:left w:val="nil"/>
              <w:bottom w:val="nil"/>
              <w:right w:val="nil"/>
            </w:tcBorders>
            <w:shd w:val="clear" w:color="000000" w:fill="FFFFFF"/>
            <w:vAlign w:val="bottom"/>
            <w:hideMark/>
          </w:tcPr>
          <w:p w14:paraId="243686DC" w14:textId="77777777" w:rsidR="00F1385E" w:rsidRPr="00B71EAB" w:rsidRDefault="001F11DD" w:rsidP="00F1385E">
            <w:pPr>
              <w:spacing w:after="0"/>
              <w:jc w:val="right"/>
              <w:rPr>
                <w:rFonts w:ascii="Calibri" w:hAnsi="Calibri" w:cs="Arial"/>
                <w:bCs/>
                <w:szCs w:val="18"/>
                <w:lang w:eastAsia="en-GB"/>
              </w:rPr>
            </w:pPr>
            <w:r w:rsidRPr="001F11DD">
              <w:rPr>
                <w:rFonts w:ascii="Calibri" w:hAnsi="Calibri" w:cs="Arial"/>
                <w:bCs/>
                <w:szCs w:val="18"/>
                <w:lang w:eastAsia="en-GB"/>
              </w:rPr>
              <w:t>£’000</w:t>
            </w:r>
          </w:p>
        </w:tc>
        <w:tc>
          <w:tcPr>
            <w:tcW w:w="283" w:type="dxa"/>
            <w:tcBorders>
              <w:top w:val="nil"/>
              <w:left w:val="nil"/>
              <w:bottom w:val="nil"/>
              <w:right w:val="nil"/>
            </w:tcBorders>
            <w:shd w:val="clear" w:color="000000" w:fill="FFFFFF"/>
            <w:vAlign w:val="bottom"/>
            <w:hideMark/>
          </w:tcPr>
          <w:p w14:paraId="5AE06695" w14:textId="77777777" w:rsidR="00F1385E" w:rsidRPr="00B71EAB" w:rsidRDefault="001F11DD" w:rsidP="00F1385E">
            <w:pPr>
              <w:spacing w:after="0"/>
              <w:jc w:val="right"/>
              <w:rPr>
                <w:rFonts w:ascii="Calibri" w:hAnsi="Calibri" w:cs="Arial"/>
                <w:bCs/>
                <w:szCs w:val="18"/>
                <w:lang w:eastAsia="en-GB"/>
              </w:rPr>
            </w:pPr>
            <w:r w:rsidRPr="001F11DD">
              <w:rPr>
                <w:rFonts w:ascii="Calibri" w:hAnsi="Calibri" w:cs="Arial"/>
                <w:bCs/>
                <w:szCs w:val="18"/>
                <w:lang w:eastAsia="en-GB"/>
              </w:rPr>
              <w:t> </w:t>
            </w:r>
          </w:p>
        </w:tc>
        <w:tc>
          <w:tcPr>
            <w:tcW w:w="1560" w:type="dxa"/>
            <w:tcBorders>
              <w:top w:val="nil"/>
              <w:left w:val="nil"/>
              <w:bottom w:val="nil"/>
              <w:right w:val="nil"/>
            </w:tcBorders>
            <w:shd w:val="clear" w:color="000000" w:fill="FFFFFF"/>
            <w:vAlign w:val="bottom"/>
            <w:hideMark/>
          </w:tcPr>
          <w:p w14:paraId="6DCC58F6" w14:textId="77777777" w:rsidR="00F1385E" w:rsidRPr="00B71EAB" w:rsidRDefault="001F11DD" w:rsidP="00F1385E">
            <w:pPr>
              <w:spacing w:after="0"/>
              <w:jc w:val="right"/>
              <w:rPr>
                <w:rFonts w:ascii="Calibri" w:hAnsi="Calibri" w:cs="Arial"/>
                <w:bCs/>
                <w:szCs w:val="18"/>
                <w:lang w:eastAsia="en-GB"/>
              </w:rPr>
            </w:pPr>
            <w:r w:rsidRPr="001F11DD">
              <w:rPr>
                <w:rFonts w:ascii="Calibri" w:hAnsi="Calibri" w:cs="Arial"/>
                <w:bCs/>
                <w:szCs w:val="18"/>
                <w:lang w:eastAsia="en-GB"/>
              </w:rPr>
              <w:t>£’000</w:t>
            </w:r>
          </w:p>
        </w:tc>
        <w:tc>
          <w:tcPr>
            <w:tcW w:w="283" w:type="dxa"/>
            <w:tcBorders>
              <w:top w:val="nil"/>
              <w:left w:val="nil"/>
              <w:bottom w:val="nil"/>
              <w:right w:val="nil"/>
            </w:tcBorders>
            <w:shd w:val="clear" w:color="000000" w:fill="FFFFFF"/>
            <w:noWrap/>
            <w:vAlign w:val="bottom"/>
            <w:hideMark/>
          </w:tcPr>
          <w:p w14:paraId="537DD8B7"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bottom"/>
            <w:hideMark/>
          </w:tcPr>
          <w:p w14:paraId="1DEFCE5B"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 £</w:t>
            </w:r>
            <w:r w:rsidR="00B71EAB">
              <w:rPr>
                <w:rFonts w:ascii="Calibri" w:hAnsi="Calibri" w:cs="Arial"/>
                <w:b/>
                <w:bCs/>
                <w:szCs w:val="18"/>
                <w:lang w:eastAsia="en-GB"/>
              </w:rPr>
              <w:t>’000</w:t>
            </w:r>
            <w:r>
              <w:rPr>
                <w:rFonts w:ascii="Calibri" w:hAnsi="Calibri" w:cs="Arial"/>
                <w:b/>
                <w:bCs/>
                <w:szCs w:val="18"/>
                <w:lang w:eastAsia="en-GB"/>
              </w:rPr>
              <w:t xml:space="preserve"> </w:t>
            </w:r>
          </w:p>
        </w:tc>
      </w:tr>
      <w:tr w:rsidR="00F1385E" w:rsidRPr="00416C4D" w14:paraId="0090BEE2" w14:textId="77777777" w:rsidTr="00731974">
        <w:trPr>
          <w:trHeight w:val="255"/>
        </w:trPr>
        <w:tc>
          <w:tcPr>
            <w:tcW w:w="4410" w:type="dxa"/>
            <w:tcBorders>
              <w:top w:val="nil"/>
              <w:left w:val="nil"/>
              <w:bottom w:val="nil"/>
              <w:right w:val="nil"/>
            </w:tcBorders>
            <w:shd w:val="clear" w:color="000000" w:fill="FFFFFF"/>
            <w:noWrap/>
            <w:vAlign w:val="bottom"/>
            <w:hideMark/>
          </w:tcPr>
          <w:p w14:paraId="1E9E09DC"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Goodwill</w:t>
            </w:r>
          </w:p>
        </w:tc>
        <w:tc>
          <w:tcPr>
            <w:tcW w:w="1559" w:type="dxa"/>
            <w:tcBorders>
              <w:top w:val="nil"/>
              <w:left w:val="nil"/>
              <w:bottom w:val="nil"/>
              <w:right w:val="nil"/>
            </w:tcBorders>
            <w:shd w:val="clear" w:color="000000" w:fill="FFFFFF"/>
            <w:noWrap/>
            <w:vAlign w:val="center"/>
            <w:hideMark/>
          </w:tcPr>
          <w:p w14:paraId="2FED0E98"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64 </w:t>
            </w:r>
          </w:p>
        </w:tc>
        <w:tc>
          <w:tcPr>
            <w:tcW w:w="283" w:type="dxa"/>
            <w:tcBorders>
              <w:top w:val="nil"/>
              <w:left w:val="nil"/>
              <w:bottom w:val="nil"/>
              <w:right w:val="nil"/>
            </w:tcBorders>
            <w:shd w:val="clear" w:color="000000" w:fill="FFFFFF"/>
            <w:noWrap/>
            <w:vAlign w:val="center"/>
            <w:hideMark/>
          </w:tcPr>
          <w:p w14:paraId="3455B69C"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574B4CE5"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(64)</w:t>
            </w:r>
          </w:p>
        </w:tc>
        <w:tc>
          <w:tcPr>
            <w:tcW w:w="283" w:type="dxa"/>
            <w:tcBorders>
              <w:top w:val="nil"/>
              <w:left w:val="nil"/>
              <w:bottom w:val="nil"/>
              <w:right w:val="nil"/>
            </w:tcBorders>
            <w:shd w:val="clear" w:color="000000" w:fill="FFFFFF"/>
            <w:noWrap/>
            <w:vAlign w:val="center"/>
            <w:hideMark/>
          </w:tcPr>
          <w:p w14:paraId="7ED1DF4E"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5470A5AD"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  </w:t>
            </w:r>
          </w:p>
        </w:tc>
      </w:tr>
      <w:tr w:rsidR="00F1385E" w:rsidRPr="00416C4D" w14:paraId="35CC6F1F" w14:textId="77777777" w:rsidTr="00731974">
        <w:trPr>
          <w:trHeight w:val="255"/>
        </w:trPr>
        <w:tc>
          <w:tcPr>
            <w:tcW w:w="4410" w:type="dxa"/>
            <w:tcBorders>
              <w:top w:val="nil"/>
              <w:left w:val="nil"/>
              <w:bottom w:val="nil"/>
              <w:right w:val="nil"/>
            </w:tcBorders>
            <w:shd w:val="clear" w:color="000000" w:fill="FFFFFF"/>
            <w:noWrap/>
            <w:vAlign w:val="bottom"/>
            <w:hideMark/>
          </w:tcPr>
          <w:p w14:paraId="4BF7A032" w14:textId="77777777" w:rsidR="00F1385E" w:rsidRPr="00416C4D" w:rsidRDefault="002D491F" w:rsidP="00F1385E">
            <w:pPr>
              <w:spacing w:after="0"/>
              <w:rPr>
                <w:rFonts w:ascii="Calibri" w:hAnsi="Calibri" w:cs="Arial"/>
                <w:szCs w:val="18"/>
                <w:lang w:eastAsia="en-GB"/>
              </w:rPr>
            </w:pPr>
            <w:r>
              <w:rPr>
                <w:rFonts w:ascii="Calibri" w:hAnsi="Calibri" w:cs="Arial"/>
                <w:szCs w:val="18"/>
                <w:lang w:eastAsia="en-GB"/>
              </w:rPr>
              <w:t>Capitalised development costs</w:t>
            </w:r>
          </w:p>
        </w:tc>
        <w:tc>
          <w:tcPr>
            <w:tcW w:w="1559" w:type="dxa"/>
            <w:tcBorders>
              <w:top w:val="nil"/>
              <w:left w:val="nil"/>
              <w:bottom w:val="nil"/>
              <w:right w:val="nil"/>
            </w:tcBorders>
            <w:shd w:val="clear" w:color="000000" w:fill="FFFFFF"/>
            <w:noWrap/>
            <w:vAlign w:val="center"/>
            <w:hideMark/>
          </w:tcPr>
          <w:p w14:paraId="75C96B90"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831 </w:t>
            </w:r>
          </w:p>
        </w:tc>
        <w:tc>
          <w:tcPr>
            <w:tcW w:w="283" w:type="dxa"/>
            <w:tcBorders>
              <w:top w:val="nil"/>
              <w:left w:val="nil"/>
              <w:bottom w:val="nil"/>
              <w:right w:val="nil"/>
            </w:tcBorders>
            <w:shd w:val="clear" w:color="000000" w:fill="FFFFFF"/>
            <w:noWrap/>
            <w:vAlign w:val="center"/>
            <w:hideMark/>
          </w:tcPr>
          <w:p w14:paraId="4B3070F8"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1C6AA519"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(831)</w:t>
            </w:r>
          </w:p>
        </w:tc>
        <w:tc>
          <w:tcPr>
            <w:tcW w:w="283" w:type="dxa"/>
            <w:tcBorders>
              <w:top w:val="nil"/>
              <w:left w:val="nil"/>
              <w:bottom w:val="nil"/>
              <w:right w:val="nil"/>
            </w:tcBorders>
            <w:shd w:val="clear" w:color="000000" w:fill="FFFFFF"/>
            <w:noWrap/>
            <w:vAlign w:val="center"/>
            <w:hideMark/>
          </w:tcPr>
          <w:p w14:paraId="424C831A"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0C4E602E"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  </w:t>
            </w:r>
          </w:p>
        </w:tc>
      </w:tr>
      <w:tr w:rsidR="00F1385E" w:rsidRPr="00416C4D" w14:paraId="2A641DA6" w14:textId="77777777" w:rsidTr="00731974">
        <w:trPr>
          <w:trHeight w:val="255"/>
        </w:trPr>
        <w:tc>
          <w:tcPr>
            <w:tcW w:w="4410" w:type="dxa"/>
            <w:tcBorders>
              <w:top w:val="nil"/>
              <w:left w:val="nil"/>
              <w:bottom w:val="nil"/>
              <w:right w:val="nil"/>
            </w:tcBorders>
            <w:shd w:val="clear" w:color="000000" w:fill="FFFFFF"/>
            <w:noWrap/>
            <w:vAlign w:val="bottom"/>
            <w:hideMark/>
          </w:tcPr>
          <w:p w14:paraId="7ECFCAC1"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Property plant and equipment</w:t>
            </w:r>
          </w:p>
        </w:tc>
        <w:tc>
          <w:tcPr>
            <w:tcW w:w="1559" w:type="dxa"/>
            <w:tcBorders>
              <w:top w:val="nil"/>
              <w:left w:val="nil"/>
              <w:bottom w:val="nil"/>
              <w:right w:val="nil"/>
            </w:tcBorders>
            <w:shd w:val="clear" w:color="000000" w:fill="FFFFFF"/>
            <w:noWrap/>
            <w:vAlign w:val="center"/>
            <w:hideMark/>
          </w:tcPr>
          <w:p w14:paraId="04A24DCC"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40 </w:t>
            </w:r>
          </w:p>
        </w:tc>
        <w:tc>
          <w:tcPr>
            <w:tcW w:w="283" w:type="dxa"/>
            <w:tcBorders>
              <w:top w:val="nil"/>
              <w:left w:val="nil"/>
              <w:bottom w:val="nil"/>
              <w:right w:val="nil"/>
            </w:tcBorders>
            <w:shd w:val="clear" w:color="000000" w:fill="FFFFFF"/>
            <w:noWrap/>
            <w:vAlign w:val="center"/>
            <w:hideMark/>
          </w:tcPr>
          <w:p w14:paraId="618F2C00"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4C97F23D"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  </w:t>
            </w:r>
          </w:p>
        </w:tc>
        <w:tc>
          <w:tcPr>
            <w:tcW w:w="283" w:type="dxa"/>
            <w:tcBorders>
              <w:top w:val="nil"/>
              <w:left w:val="nil"/>
              <w:bottom w:val="nil"/>
              <w:right w:val="nil"/>
            </w:tcBorders>
            <w:shd w:val="clear" w:color="000000" w:fill="FFFFFF"/>
            <w:noWrap/>
            <w:vAlign w:val="center"/>
            <w:hideMark/>
          </w:tcPr>
          <w:p w14:paraId="7C34D9C2"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1292F23F"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40 </w:t>
            </w:r>
          </w:p>
        </w:tc>
      </w:tr>
      <w:tr w:rsidR="00F1385E" w:rsidRPr="00416C4D" w14:paraId="18979A18" w14:textId="77777777" w:rsidTr="00731974">
        <w:trPr>
          <w:trHeight w:val="255"/>
        </w:trPr>
        <w:tc>
          <w:tcPr>
            <w:tcW w:w="4410" w:type="dxa"/>
            <w:tcBorders>
              <w:top w:val="nil"/>
              <w:left w:val="nil"/>
              <w:bottom w:val="nil"/>
              <w:right w:val="nil"/>
            </w:tcBorders>
            <w:shd w:val="clear" w:color="000000" w:fill="FFFFFF"/>
            <w:noWrap/>
            <w:vAlign w:val="bottom"/>
            <w:hideMark/>
          </w:tcPr>
          <w:p w14:paraId="5DD23D13"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Financial assets</w:t>
            </w:r>
          </w:p>
        </w:tc>
        <w:tc>
          <w:tcPr>
            <w:tcW w:w="1559" w:type="dxa"/>
            <w:tcBorders>
              <w:top w:val="nil"/>
              <w:left w:val="nil"/>
              <w:bottom w:val="nil"/>
              <w:right w:val="nil"/>
            </w:tcBorders>
            <w:shd w:val="clear" w:color="000000" w:fill="FFFFFF"/>
            <w:noWrap/>
            <w:vAlign w:val="center"/>
            <w:hideMark/>
          </w:tcPr>
          <w:p w14:paraId="657DDE96"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36 </w:t>
            </w:r>
          </w:p>
        </w:tc>
        <w:tc>
          <w:tcPr>
            <w:tcW w:w="283" w:type="dxa"/>
            <w:tcBorders>
              <w:top w:val="nil"/>
              <w:left w:val="nil"/>
              <w:bottom w:val="nil"/>
              <w:right w:val="nil"/>
            </w:tcBorders>
            <w:shd w:val="clear" w:color="000000" w:fill="FFFFFF"/>
            <w:noWrap/>
            <w:vAlign w:val="center"/>
            <w:hideMark/>
          </w:tcPr>
          <w:p w14:paraId="28D114C8"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781712E5"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  </w:t>
            </w:r>
          </w:p>
        </w:tc>
        <w:tc>
          <w:tcPr>
            <w:tcW w:w="283" w:type="dxa"/>
            <w:tcBorders>
              <w:top w:val="nil"/>
              <w:left w:val="nil"/>
              <w:bottom w:val="nil"/>
              <w:right w:val="nil"/>
            </w:tcBorders>
            <w:shd w:val="clear" w:color="000000" w:fill="FFFFFF"/>
            <w:noWrap/>
            <w:vAlign w:val="center"/>
            <w:hideMark/>
          </w:tcPr>
          <w:p w14:paraId="283CDE05"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421E1EFD"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36 </w:t>
            </w:r>
          </w:p>
        </w:tc>
      </w:tr>
      <w:tr w:rsidR="00F1385E" w:rsidRPr="00416C4D" w14:paraId="07437D6F" w14:textId="77777777" w:rsidTr="00731974">
        <w:trPr>
          <w:trHeight w:val="255"/>
        </w:trPr>
        <w:tc>
          <w:tcPr>
            <w:tcW w:w="4410" w:type="dxa"/>
            <w:tcBorders>
              <w:top w:val="nil"/>
              <w:left w:val="nil"/>
              <w:bottom w:val="nil"/>
              <w:right w:val="nil"/>
            </w:tcBorders>
            <w:shd w:val="clear" w:color="000000" w:fill="FFFFFF"/>
            <w:noWrap/>
            <w:vAlign w:val="bottom"/>
            <w:hideMark/>
          </w:tcPr>
          <w:p w14:paraId="0AFF3774"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Trade and other receivables</w:t>
            </w:r>
          </w:p>
        </w:tc>
        <w:tc>
          <w:tcPr>
            <w:tcW w:w="1559" w:type="dxa"/>
            <w:tcBorders>
              <w:top w:val="nil"/>
              <w:left w:val="nil"/>
              <w:bottom w:val="nil"/>
              <w:right w:val="nil"/>
            </w:tcBorders>
            <w:shd w:val="clear" w:color="000000" w:fill="FFFFFF"/>
            <w:noWrap/>
            <w:vAlign w:val="center"/>
            <w:hideMark/>
          </w:tcPr>
          <w:p w14:paraId="7BFF2179"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421 </w:t>
            </w:r>
          </w:p>
        </w:tc>
        <w:tc>
          <w:tcPr>
            <w:tcW w:w="283" w:type="dxa"/>
            <w:tcBorders>
              <w:top w:val="nil"/>
              <w:left w:val="nil"/>
              <w:bottom w:val="nil"/>
              <w:right w:val="nil"/>
            </w:tcBorders>
            <w:shd w:val="clear" w:color="000000" w:fill="FFFFFF"/>
            <w:noWrap/>
            <w:vAlign w:val="center"/>
            <w:hideMark/>
          </w:tcPr>
          <w:p w14:paraId="05B411FA"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68225067"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  </w:t>
            </w:r>
          </w:p>
        </w:tc>
        <w:tc>
          <w:tcPr>
            <w:tcW w:w="283" w:type="dxa"/>
            <w:tcBorders>
              <w:top w:val="nil"/>
              <w:left w:val="nil"/>
              <w:bottom w:val="nil"/>
              <w:right w:val="nil"/>
            </w:tcBorders>
            <w:shd w:val="clear" w:color="000000" w:fill="FFFFFF"/>
            <w:noWrap/>
            <w:vAlign w:val="center"/>
            <w:hideMark/>
          </w:tcPr>
          <w:p w14:paraId="07735C2F"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6FA4259A"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421 </w:t>
            </w:r>
          </w:p>
        </w:tc>
      </w:tr>
      <w:tr w:rsidR="00F1385E" w:rsidRPr="00416C4D" w14:paraId="3E424072" w14:textId="77777777" w:rsidTr="00731974">
        <w:trPr>
          <w:trHeight w:val="255"/>
        </w:trPr>
        <w:tc>
          <w:tcPr>
            <w:tcW w:w="4410" w:type="dxa"/>
            <w:tcBorders>
              <w:top w:val="nil"/>
              <w:left w:val="nil"/>
              <w:bottom w:val="nil"/>
              <w:right w:val="nil"/>
            </w:tcBorders>
            <w:shd w:val="clear" w:color="000000" w:fill="FFFFFF"/>
            <w:noWrap/>
            <w:vAlign w:val="bottom"/>
            <w:hideMark/>
          </w:tcPr>
          <w:p w14:paraId="432FC1CC"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Cash and cash equivalents</w:t>
            </w:r>
          </w:p>
        </w:tc>
        <w:tc>
          <w:tcPr>
            <w:tcW w:w="1559" w:type="dxa"/>
            <w:tcBorders>
              <w:top w:val="nil"/>
              <w:left w:val="nil"/>
              <w:bottom w:val="nil"/>
              <w:right w:val="nil"/>
            </w:tcBorders>
            <w:shd w:val="clear" w:color="000000" w:fill="FFFFFF"/>
            <w:noWrap/>
            <w:vAlign w:val="center"/>
            <w:hideMark/>
          </w:tcPr>
          <w:p w14:paraId="1A2A8AF9"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109 </w:t>
            </w:r>
          </w:p>
        </w:tc>
        <w:tc>
          <w:tcPr>
            <w:tcW w:w="283" w:type="dxa"/>
            <w:tcBorders>
              <w:top w:val="nil"/>
              <w:left w:val="nil"/>
              <w:bottom w:val="nil"/>
              <w:right w:val="nil"/>
            </w:tcBorders>
            <w:shd w:val="clear" w:color="000000" w:fill="FFFFFF"/>
            <w:noWrap/>
            <w:vAlign w:val="center"/>
            <w:hideMark/>
          </w:tcPr>
          <w:p w14:paraId="6D224074"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560FA5B7"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  </w:t>
            </w:r>
          </w:p>
        </w:tc>
        <w:tc>
          <w:tcPr>
            <w:tcW w:w="283" w:type="dxa"/>
            <w:tcBorders>
              <w:top w:val="nil"/>
              <w:left w:val="nil"/>
              <w:bottom w:val="nil"/>
              <w:right w:val="nil"/>
            </w:tcBorders>
            <w:shd w:val="clear" w:color="000000" w:fill="FFFFFF"/>
            <w:noWrap/>
            <w:vAlign w:val="center"/>
            <w:hideMark/>
          </w:tcPr>
          <w:p w14:paraId="315535D2"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2CFE990D"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109 </w:t>
            </w:r>
          </w:p>
        </w:tc>
      </w:tr>
      <w:tr w:rsidR="00F1385E" w:rsidRPr="00416C4D" w14:paraId="3705AE9D" w14:textId="77777777" w:rsidTr="00731974">
        <w:trPr>
          <w:trHeight w:val="255"/>
        </w:trPr>
        <w:tc>
          <w:tcPr>
            <w:tcW w:w="4410" w:type="dxa"/>
            <w:tcBorders>
              <w:top w:val="nil"/>
              <w:left w:val="nil"/>
              <w:bottom w:val="nil"/>
              <w:right w:val="nil"/>
            </w:tcBorders>
            <w:shd w:val="clear" w:color="000000" w:fill="FFFFFF"/>
            <w:noWrap/>
            <w:vAlign w:val="bottom"/>
            <w:hideMark/>
          </w:tcPr>
          <w:p w14:paraId="0EAF1C26"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Bank loans</w:t>
            </w:r>
          </w:p>
        </w:tc>
        <w:tc>
          <w:tcPr>
            <w:tcW w:w="1559" w:type="dxa"/>
            <w:tcBorders>
              <w:top w:val="nil"/>
              <w:left w:val="nil"/>
              <w:bottom w:val="nil"/>
              <w:right w:val="nil"/>
            </w:tcBorders>
            <w:shd w:val="clear" w:color="000000" w:fill="FFFFFF"/>
            <w:noWrap/>
            <w:vAlign w:val="center"/>
            <w:hideMark/>
          </w:tcPr>
          <w:p w14:paraId="6ED7A343"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(898)</w:t>
            </w:r>
          </w:p>
        </w:tc>
        <w:tc>
          <w:tcPr>
            <w:tcW w:w="283" w:type="dxa"/>
            <w:tcBorders>
              <w:top w:val="nil"/>
              <w:left w:val="nil"/>
              <w:bottom w:val="nil"/>
              <w:right w:val="nil"/>
            </w:tcBorders>
            <w:shd w:val="clear" w:color="000000" w:fill="FFFFFF"/>
            <w:noWrap/>
            <w:vAlign w:val="center"/>
            <w:hideMark/>
          </w:tcPr>
          <w:p w14:paraId="619F29CA"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32130C51"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  </w:t>
            </w:r>
          </w:p>
        </w:tc>
        <w:tc>
          <w:tcPr>
            <w:tcW w:w="283" w:type="dxa"/>
            <w:tcBorders>
              <w:top w:val="nil"/>
              <w:left w:val="nil"/>
              <w:bottom w:val="nil"/>
              <w:right w:val="nil"/>
            </w:tcBorders>
            <w:shd w:val="clear" w:color="000000" w:fill="FFFFFF"/>
            <w:noWrap/>
            <w:vAlign w:val="center"/>
            <w:hideMark/>
          </w:tcPr>
          <w:p w14:paraId="1FCC426A"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7A1C9ED1"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(898)</w:t>
            </w:r>
          </w:p>
        </w:tc>
      </w:tr>
      <w:tr w:rsidR="00F1385E" w:rsidRPr="00416C4D" w14:paraId="4B355C9E" w14:textId="77777777" w:rsidTr="00731974">
        <w:trPr>
          <w:trHeight w:val="255"/>
        </w:trPr>
        <w:tc>
          <w:tcPr>
            <w:tcW w:w="4410" w:type="dxa"/>
            <w:tcBorders>
              <w:top w:val="nil"/>
              <w:left w:val="nil"/>
              <w:bottom w:val="nil"/>
              <w:right w:val="nil"/>
            </w:tcBorders>
            <w:shd w:val="clear" w:color="000000" w:fill="FFFFFF"/>
            <w:noWrap/>
            <w:vAlign w:val="bottom"/>
            <w:hideMark/>
          </w:tcPr>
          <w:p w14:paraId="70088C15"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Trade and other payables</w:t>
            </w:r>
          </w:p>
        </w:tc>
        <w:tc>
          <w:tcPr>
            <w:tcW w:w="1559" w:type="dxa"/>
            <w:tcBorders>
              <w:top w:val="nil"/>
              <w:left w:val="nil"/>
              <w:bottom w:val="nil"/>
              <w:right w:val="nil"/>
            </w:tcBorders>
            <w:shd w:val="clear" w:color="000000" w:fill="FFFFFF"/>
            <w:noWrap/>
            <w:vAlign w:val="center"/>
            <w:hideMark/>
          </w:tcPr>
          <w:p w14:paraId="12F2F3AC"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(713)</w:t>
            </w:r>
          </w:p>
        </w:tc>
        <w:tc>
          <w:tcPr>
            <w:tcW w:w="283" w:type="dxa"/>
            <w:tcBorders>
              <w:top w:val="nil"/>
              <w:left w:val="nil"/>
              <w:bottom w:val="nil"/>
              <w:right w:val="nil"/>
            </w:tcBorders>
            <w:shd w:val="clear" w:color="000000" w:fill="FFFFFF"/>
            <w:noWrap/>
            <w:vAlign w:val="center"/>
            <w:hideMark/>
          </w:tcPr>
          <w:p w14:paraId="0D7AD2A6"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3BEFD085"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xml:space="preserve">-  </w:t>
            </w:r>
          </w:p>
        </w:tc>
        <w:tc>
          <w:tcPr>
            <w:tcW w:w="283" w:type="dxa"/>
            <w:tcBorders>
              <w:top w:val="nil"/>
              <w:left w:val="nil"/>
              <w:bottom w:val="nil"/>
              <w:right w:val="nil"/>
            </w:tcBorders>
            <w:shd w:val="clear" w:color="000000" w:fill="FFFFFF"/>
            <w:noWrap/>
            <w:vAlign w:val="center"/>
            <w:hideMark/>
          </w:tcPr>
          <w:p w14:paraId="7A1F4A37"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1D6F2043"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(713)</w:t>
            </w:r>
          </w:p>
        </w:tc>
      </w:tr>
      <w:tr w:rsidR="00F1385E" w:rsidRPr="00416C4D" w14:paraId="2DC98FDB" w14:textId="77777777" w:rsidTr="00731974">
        <w:trPr>
          <w:trHeight w:val="270"/>
        </w:trPr>
        <w:tc>
          <w:tcPr>
            <w:tcW w:w="4410" w:type="dxa"/>
            <w:tcBorders>
              <w:top w:val="nil"/>
              <w:left w:val="nil"/>
              <w:bottom w:val="nil"/>
              <w:right w:val="nil"/>
            </w:tcBorders>
            <w:shd w:val="clear" w:color="000000" w:fill="FFFFFF"/>
            <w:noWrap/>
            <w:vAlign w:val="bottom"/>
            <w:hideMark/>
          </w:tcPr>
          <w:p w14:paraId="592EEEAA"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 </w:t>
            </w:r>
          </w:p>
        </w:tc>
        <w:tc>
          <w:tcPr>
            <w:tcW w:w="1559" w:type="dxa"/>
            <w:tcBorders>
              <w:top w:val="single" w:sz="4" w:space="0" w:color="auto"/>
              <w:left w:val="nil"/>
              <w:bottom w:val="double" w:sz="6" w:space="0" w:color="auto"/>
              <w:right w:val="nil"/>
            </w:tcBorders>
            <w:shd w:val="clear" w:color="000000" w:fill="FFFFFF"/>
            <w:noWrap/>
            <w:vAlign w:val="center"/>
            <w:hideMark/>
          </w:tcPr>
          <w:p w14:paraId="7886E4B8"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(110)</w:t>
            </w:r>
          </w:p>
        </w:tc>
        <w:tc>
          <w:tcPr>
            <w:tcW w:w="283" w:type="dxa"/>
            <w:tcBorders>
              <w:top w:val="nil"/>
              <w:left w:val="nil"/>
              <w:bottom w:val="nil"/>
              <w:right w:val="nil"/>
            </w:tcBorders>
            <w:shd w:val="clear" w:color="000000" w:fill="FFFFFF"/>
            <w:noWrap/>
            <w:vAlign w:val="center"/>
            <w:hideMark/>
          </w:tcPr>
          <w:p w14:paraId="6A015570"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single" w:sz="4" w:space="0" w:color="auto"/>
              <w:left w:val="nil"/>
              <w:bottom w:val="double" w:sz="6" w:space="0" w:color="auto"/>
              <w:right w:val="nil"/>
            </w:tcBorders>
            <w:shd w:val="clear" w:color="000000" w:fill="FFFFFF"/>
            <w:noWrap/>
            <w:vAlign w:val="center"/>
            <w:hideMark/>
          </w:tcPr>
          <w:p w14:paraId="5037876C"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(895)</w:t>
            </w:r>
          </w:p>
        </w:tc>
        <w:tc>
          <w:tcPr>
            <w:tcW w:w="283" w:type="dxa"/>
            <w:tcBorders>
              <w:top w:val="nil"/>
              <w:left w:val="nil"/>
              <w:bottom w:val="nil"/>
              <w:right w:val="nil"/>
            </w:tcBorders>
            <w:shd w:val="clear" w:color="000000" w:fill="FFFFFF"/>
            <w:noWrap/>
            <w:vAlign w:val="center"/>
            <w:hideMark/>
          </w:tcPr>
          <w:p w14:paraId="7D531CFD"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single" w:sz="4" w:space="0" w:color="auto"/>
              <w:left w:val="nil"/>
              <w:bottom w:val="single" w:sz="4" w:space="0" w:color="auto"/>
              <w:right w:val="nil"/>
            </w:tcBorders>
            <w:shd w:val="clear" w:color="000000" w:fill="FFFFFF"/>
            <w:noWrap/>
            <w:vAlign w:val="center"/>
            <w:hideMark/>
          </w:tcPr>
          <w:p w14:paraId="788BFF2E"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(1,005)</w:t>
            </w:r>
          </w:p>
        </w:tc>
      </w:tr>
      <w:tr w:rsidR="00F1385E" w:rsidRPr="00416C4D" w14:paraId="2788B763" w14:textId="77777777" w:rsidTr="00731974">
        <w:trPr>
          <w:trHeight w:val="270"/>
        </w:trPr>
        <w:tc>
          <w:tcPr>
            <w:tcW w:w="4410" w:type="dxa"/>
            <w:tcBorders>
              <w:top w:val="nil"/>
              <w:left w:val="nil"/>
              <w:bottom w:val="nil"/>
              <w:right w:val="nil"/>
            </w:tcBorders>
            <w:shd w:val="clear" w:color="000000" w:fill="FFFFFF"/>
            <w:noWrap/>
            <w:vAlign w:val="bottom"/>
            <w:hideMark/>
          </w:tcPr>
          <w:p w14:paraId="28A0A00C"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Intangible</w:t>
            </w:r>
            <w:r w:rsidR="00B71EAB">
              <w:rPr>
                <w:rFonts w:ascii="Calibri" w:hAnsi="Calibri" w:cs="Arial"/>
                <w:szCs w:val="18"/>
                <w:lang w:eastAsia="en-GB"/>
              </w:rPr>
              <w:t xml:space="preserve"> assets</w:t>
            </w:r>
          </w:p>
        </w:tc>
        <w:tc>
          <w:tcPr>
            <w:tcW w:w="1559" w:type="dxa"/>
            <w:tcBorders>
              <w:top w:val="nil"/>
              <w:left w:val="nil"/>
              <w:bottom w:val="nil"/>
              <w:right w:val="nil"/>
            </w:tcBorders>
            <w:shd w:val="clear" w:color="000000" w:fill="FFFFFF"/>
            <w:noWrap/>
            <w:vAlign w:val="center"/>
            <w:hideMark/>
          </w:tcPr>
          <w:p w14:paraId="3528BDE2"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283" w:type="dxa"/>
            <w:tcBorders>
              <w:top w:val="nil"/>
              <w:left w:val="nil"/>
              <w:bottom w:val="nil"/>
              <w:right w:val="nil"/>
            </w:tcBorders>
            <w:shd w:val="clear" w:color="000000" w:fill="FFFFFF"/>
            <w:noWrap/>
            <w:vAlign w:val="center"/>
            <w:hideMark/>
          </w:tcPr>
          <w:p w14:paraId="7709528D"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3BB0E80E"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283" w:type="dxa"/>
            <w:tcBorders>
              <w:top w:val="nil"/>
              <w:left w:val="nil"/>
              <w:bottom w:val="nil"/>
              <w:right w:val="nil"/>
            </w:tcBorders>
            <w:shd w:val="clear" w:color="000000" w:fill="FFFFFF"/>
            <w:noWrap/>
            <w:vAlign w:val="center"/>
            <w:hideMark/>
          </w:tcPr>
          <w:p w14:paraId="0CC32C3E"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3685011E"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1,737 </w:t>
            </w:r>
          </w:p>
        </w:tc>
      </w:tr>
      <w:tr w:rsidR="00F1385E" w:rsidRPr="00416C4D" w14:paraId="5F154537" w14:textId="77777777" w:rsidTr="00731974">
        <w:trPr>
          <w:trHeight w:val="270"/>
        </w:trPr>
        <w:tc>
          <w:tcPr>
            <w:tcW w:w="4410" w:type="dxa"/>
            <w:tcBorders>
              <w:top w:val="nil"/>
              <w:left w:val="nil"/>
              <w:bottom w:val="nil"/>
              <w:right w:val="nil"/>
            </w:tcBorders>
            <w:shd w:val="clear" w:color="000000" w:fill="FFFFFF"/>
            <w:noWrap/>
            <w:vAlign w:val="bottom"/>
            <w:hideMark/>
          </w:tcPr>
          <w:p w14:paraId="42F0227D" w14:textId="77777777" w:rsidR="00F1385E" w:rsidRPr="00416C4D" w:rsidRDefault="00DE74D8" w:rsidP="00F1385E">
            <w:pPr>
              <w:spacing w:after="0"/>
              <w:rPr>
                <w:rFonts w:ascii="Calibri" w:hAnsi="Calibri" w:cs="Arial"/>
                <w:szCs w:val="18"/>
                <w:lang w:eastAsia="en-GB"/>
              </w:rPr>
            </w:pPr>
            <w:r>
              <w:rPr>
                <w:rFonts w:ascii="Calibri" w:hAnsi="Calibri" w:cs="Arial"/>
                <w:szCs w:val="18"/>
                <w:lang w:eastAsia="en-GB"/>
              </w:rPr>
              <w:t>Total consideration</w:t>
            </w:r>
          </w:p>
        </w:tc>
        <w:tc>
          <w:tcPr>
            <w:tcW w:w="1559" w:type="dxa"/>
            <w:tcBorders>
              <w:top w:val="nil"/>
              <w:left w:val="nil"/>
              <w:bottom w:val="nil"/>
              <w:right w:val="nil"/>
            </w:tcBorders>
            <w:shd w:val="clear" w:color="000000" w:fill="FFFFFF"/>
            <w:noWrap/>
            <w:vAlign w:val="center"/>
            <w:hideMark/>
          </w:tcPr>
          <w:p w14:paraId="1167E0DE"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283" w:type="dxa"/>
            <w:tcBorders>
              <w:top w:val="nil"/>
              <w:left w:val="nil"/>
              <w:bottom w:val="nil"/>
              <w:right w:val="nil"/>
            </w:tcBorders>
            <w:shd w:val="clear" w:color="000000" w:fill="FFFFFF"/>
            <w:noWrap/>
            <w:vAlign w:val="center"/>
            <w:hideMark/>
          </w:tcPr>
          <w:p w14:paraId="592A54C0"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560" w:type="dxa"/>
            <w:tcBorders>
              <w:top w:val="nil"/>
              <w:left w:val="nil"/>
              <w:bottom w:val="nil"/>
              <w:right w:val="nil"/>
            </w:tcBorders>
            <w:shd w:val="clear" w:color="000000" w:fill="FFFFFF"/>
            <w:noWrap/>
            <w:vAlign w:val="center"/>
            <w:hideMark/>
          </w:tcPr>
          <w:p w14:paraId="48023B1E"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283" w:type="dxa"/>
            <w:tcBorders>
              <w:top w:val="nil"/>
              <w:left w:val="nil"/>
              <w:bottom w:val="nil"/>
              <w:right w:val="nil"/>
            </w:tcBorders>
            <w:shd w:val="clear" w:color="000000" w:fill="FFFFFF"/>
            <w:noWrap/>
            <w:vAlign w:val="center"/>
            <w:hideMark/>
          </w:tcPr>
          <w:p w14:paraId="18A2C0EC" w14:textId="77777777" w:rsidR="00F1385E" w:rsidRPr="00416C4D" w:rsidRDefault="00DE74D8" w:rsidP="00F1385E">
            <w:pPr>
              <w:spacing w:after="0"/>
              <w:jc w:val="right"/>
              <w:rPr>
                <w:rFonts w:ascii="Calibri" w:hAnsi="Calibri" w:cs="Arial"/>
                <w:szCs w:val="18"/>
                <w:lang w:eastAsia="en-GB"/>
              </w:rPr>
            </w:pPr>
            <w:r>
              <w:rPr>
                <w:rFonts w:ascii="Calibri" w:hAnsi="Calibri" w:cs="Arial"/>
                <w:szCs w:val="18"/>
                <w:lang w:eastAsia="en-GB"/>
              </w:rPr>
              <w:t> </w:t>
            </w:r>
          </w:p>
        </w:tc>
        <w:tc>
          <w:tcPr>
            <w:tcW w:w="1418" w:type="dxa"/>
            <w:tcBorders>
              <w:top w:val="single" w:sz="4" w:space="0" w:color="auto"/>
              <w:left w:val="nil"/>
              <w:bottom w:val="double" w:sz="6" w:space="0" w:color="auto"/>
              <w:right w:val="nil"/>
            </w:tcBorders>
            <w:shd w:val="clear" w:color="000000" w:fill="FFFFFF"/>
            <w:noWrap/>
            <w:vAlign w:val="center"/>
            <w:hideMark/>
          </w:tcPr>
          <w:p w14:paraId="36CFDB1A" w14:textId="77777777" w:rsidR="00F1385E" w:rsidRPr="00416C4D" w:rsidRDefault="00DE74D8" w:rsidP="00F1385E">
            <w:pPr>
              <w:spacing w:after="0"/>
              <w:jc w:val="right"/>
              <w:rPr>
                <w:rFonts w:ascii="Calibri" w:hAnsi="Calibri" w:cs="Arial"/>
                <w:b/>
                <w:bCs/>
                <w:szCs w:val="18"/>
                <w:lang w:eastAsia="en-GB"/>
              </w:rPr>
            </w:pPr>
            <w:r>
              <w:rPr>
                <w:rFonts w:ascii="Calibri" w:hAnsi="Calibri" w:cs="Arial"/>
                <w:b/>
                <w:bCs/>
                <w:szCs w:val="18"/>
                <w:lang w:eastAsia="en-GB"/>
              </w:rPr>
              <w:t xml:space="preserve">732 </w:t>
            </w:r>
          </w:p>
        </w:tc>
      </w:tr>
    </w:tbl>
    <w:p w14:paraId="4E0D47D7" w14:textId="77777777" w:rsidR="00F1385E" w:rsidRPr="00416C4D" w:rsidRDefault="00F1385E" w:rsidP="00784641">
      <w:pPr>
        <w:jc w:val="both"/>
        <w:rPr>
          <w:rFonts w:ascii="Calibri" w:hAnsi="Calibri"/>
          <w:szCs w:val="18"/>
        </w:rPr>
      </w:pPr>
    </w:p>
    <w:p w14:paraId="6E89DC6B" w14:textId="77777777" w:rsidR="00AE0A86" w:rsidRDefault="00AE0A86" w:rsidP="00AE0A86">
      <w:pPr>
        <w:jc w:val="both"/>
        <w:rPr>
          <w:rFonts w:ascii="Calibri" w:hAnsi="Calibri"/>
          <w:szCs w:val="18"/>
        </w:rPr>
      </w:pPr>
      <w:r w:rsidRPr="007D6CC6">
        <w:rPr>
          <w:rFonts w:ascii="Calibri" w:hAnsi="Calibri"/>
          <w:szCs w:val="18"/>
        </w:rPr>
        <w:t xml:space="preserve">The transaction was satisfied by </w:t>
      </w:r>
      <w:r>
        <w:rPr>
          <w:rFonts w:ascii="Calibri" w:hAnsi="Calibri"/>
          <w:szCs w:val="18"/>
        </w:rPr>
        <w:t xml:space="preserve">a </w:t>
      </w:r>
      <w:r w:rsidRPr="007D6CC6">
        <w:rPr>
          <w:rFonts w:ascii="Calibri" w:hAnsi="Calibri"/>
          <w:szCs w:val="18"/>
        </w:rPr>
        <w:t xml:space="preserve">share swap of </w:t>
      </w:r>
      <w:r>
        <w:rPr>
          <w:rFonts w:ascii="Calibri" w:hAnsi="Calibri"/>
          <w:szCs w:val="18"/>
        </w:rPr>
        <w:t>7,320,000</w:t>
      </w:r>
      <w:r w:rsidRPr="007D6CC6">
        <w:rPr>
          <w:rFonts w:ascii="Calibri" w:hAnsi="Calibri"/>
          <w:szCs w:val="18"/>
        </w:rPr>
        <w:t xml:space="preserve"> ordinary shares at a value of £0.</w:t>
      </w:r>
      <w:r>
        <w:rPr>
          <w:rFonts w:ascii="Calibri" w:hAnsi="Calibri"/>
          <w:szCs w:val="18"/>
        </w:rPr>
        <w:t>10</w:t>
      </w:r>
      <w:r w:rsidRPr="007D6CC6">
        <w:rPr>
          <w:rFonts w:ascii="Calibri" w:hAnsi="Calibri"/>
          <w:szCs w:val="18"/>
        </w:rPr>
        <w:t xml:space="preserve"> per share</w:t>
      </w:r>
      <w:r>
        <w:rPr>
          <w:rFonts w:ascii="Calibri" w:hAnsi="Calibri"/>
          <w:szCs w:val="18"/>
        </w:rPr>
        <w:t xml:space="preserve"> in 7digital Group plc for 100% of the shareholding in Snowite SAS</w:t>
      </w:r>
      <w:r w:rsidRPr="007D6CC6">
        <w:rPr>
          <w:rFonts w:ascii="Calibri" w:hAnsi="Calibri"/>
          <w:szCs w:val="18"/>
        </w:rPr>
        <w:t xml:space="preserve">. </w:t>
      </w:r>
      <w:r>
        <w:rPr>
          <w:rFonts w:ascii="Calibri" w:hAnsi="Calibri"/>
          <w:szCs w:val="18"/>
        </w:rPr>
        <w:t xml:space="preserve">The primary reason for the acquisition was to acquire </w:t>
      </w:r>
      <w:proofErr w:type="spellStart"/>
      <w:r>
        <w:rPr>
          <w:rFonts w:ascii="Calibri" w:hAnsi="Calibri"/>
          <w:szCs w:val="18"/>
        </w:rPr>
        <w:t>Snowite’s</w:t>
      </w:r>
      <w:proofErr w:type="spellEnd"/>
      <w:r>
        <w:rPr>
          <w:rFonts w:ascii="Calibri" w:hAnsi="Calibri"/>
          <w:szCs w:val="18"/>
        </w:rPr>
        <w:t xml:space="preserve"> software and IP.  The difference between the adjusted fair value of the net assets and the consideration have been classified as intangible assets and will be amortised over a 3 year period in line with the Group policy on bespoke software.</w:t>
      </w:r>
    </w:p>
    <w:p w14:paraId="39D9E27E" w14:textId="77777777" w:rsidR="00F1385E" w:rsidRDefault="00AE0A86" w:rsidP="00784641">
      <w:pPr>
        <w:jc w:val="both"/>
        <w:rPr>
          <w:rFonts w:ascii="Calibri" w:hAnsi="Calibri"/>
          <w:szCs w:val="18"/>
        </w:rPr>
      </w:pPr>
      <w:r>
        <w:rPr>
          <w:rFonts w:ascii="Calibri" w:hAnsi="Calibri"/>
          <w:szCs w:val="18"/>
        </w:rPr>
        <w:t xml:space="preserve">As part of the purchase, the Group has negotiated </w:t>
      </w:r>
      <w:r w:rsidRPr="004B015C">
        <w:rPr>
          <w:rFonts w:ascii="Calibri" w:hAnsi="Calibri"/>
          <w:szCs w:val="18"/>
        </w:rPr>
        <w:t xml:space="preserve">with the French Commercial Courts a slight reduction in the amount of </w:t>
      </w:r>
      <w:r>
        <w:rPr>
          <w:rFonts w:ascii="Calibri" w:hAnsi="Calibri"/>
          <w:szCs w:val="18"/>
        </w:rPr>
        <w:t>the d</w:t>
      </w:r>
      <w:r w:rsidRPr="004B015C">
        <w:rPr>
          <w:rFonts w:ascii="Calibri" w:hAnsi="Calibri"/>
          <w:szCs w:val="18"/>
        </w:rPr>
        <w:t xml:space="preserve">ebt </w:t>
      </w:r>
      <w:r>
        <w:rPr>
          <w:rFonts w:ascii="Calibri" w:hAnsi="Calibri"/>
          <w:szCs w:val="18"/>
        </w:rPr>
        <w:t xml:space="preserve">existing at the time of the purchase within </w:t>
      </w:r>
      <w:r w:rsidRPr="004B015C">
        <w:rPr>
          <w:rFonts w:ascii="Calibri" w:hAnsi="Calibri"/>
          <w:szCs w:val="18"/>
        </w:rPr>
        <w:t xml:space="preserve">Snowite </w:t>
      </w:r>
      <w:r>
        <w:rPr>
          <w:rFonts w:ascii="Calibri" w:hAnsi="Calibri"/>
          <w:szCs w:val="18"/>
        </w:rPr>
        <w:t xml:space="preserve">and </w:t>
      </w:r>
      <w:r w:rsidRPr="004B015C">
        <w:rPr>
          <w:rFonts w:ascii="Calibri" w:hAnsi="Calibri"/>
          <w:szCs w:val="18"/>
        </w:rPr>
        <w:t xml:space="preserve">to be repaid by the </w:t>
      </w:r>
      <w:r>
        <w:rPr>
          <w:rFonts w:ascii="Calibri" w:hAnsi="Calibri"/>
          <w:szCs w:val="18"/>
        </w:rPr>
        <w:t>Group</w:t>
      </w:r>
      <w:r w:rsidRPr="004B015C">
        <w:rPr>
          <w:rFonts w:ascii="Calibri" w:hAnsi="Calibri"/>
          <w:szCs w:val="18"/>
        </w:rPr>
        <w:t>, from €1.8m to €1.7m</w:t>
      </w:r>
      <w:r>
        <w:rPr>
          <w:rFonts w:ascii="Calibri" w:hAnsi="Calibri"/>
          <w:szCs w:val="18"/>
        </w:rPr>
        <w:t xml:space="preserve">.  The </w:t>
      </w:r>
      <w:r w:rsidRPr="004B015C">
        <w:rPr>
          <w:rFonts w:ascii="Calibri" w:hAnsi="Calibri"/>
          <w:szCs w:val="18"/>
        </w:rPr>
        <w:t>term</w:t>
      </w:r>
      <w:r>
        <w:rPr>
          <w:rFonts w:ascii="Calibri" w:hAnsi="Calibri"/>
          <w:szCs w:val="18"/>
        </w:rPr>
        <w:t>s</w:t>
      </w:r>
      <w:r w:rsidRPr="004B015C">
        <w:rPr>
          <w:rFonts w:ascii="Calibri" w:hAnsi="Calibri"/>
          <w:szCs w:val="18"/>
        </w:rPr>
        <w:t xml:space="preserve"> of repayment</w:t>
      </w:r>
      <w:r>
        <w:rPr>
          <w:rFonts w:ascii="Calibri" w:hAnsi="Calibri"/>
          <w:szCs w:val="18"/>
        </w:rPr>
        <w:t xml:space="preserve"> agreed are over</w:t>
      </w:r>
      <w:r w:rsidRPr="004B015C">
        <w:rPr>
          <w:rFonts w:ascii="Calibri" w:hAnsi="Calibri"/>
          <w:szCs w:val="18"/>
        </w:rPr>
        <w:t xml:space="preserve"> 8 years (following a 1 year moratorium), payable in equal instalments with no interest</w:t>
      </w:r>
      <w:r>
        <w:rPr>
          <w:rFonts w:ascii="Calibri" w:hAnsi="Calibri"/>
          <w:szCs w:val="18"/>
        </w:rPr>
        <w:t>.</w:t>
      </w:r>
    </w:p>
    <w:p w14:paraId="76D2CBB8" w14:textId="77777777" w:rsidR="00AE0A86" w:rsidRDefault="00AE0A86" w:rsidP="00784641">
      <w:pPr>
        <w:jc w:val="both"/>
        <w:rPr>
          <w:rFonts w:ascii="Calibri" w:hAnsi="Calibri"/>
          <w:szCs w:val="18"/>
        </w:rPr>
      </w:pPr>
    </w:p>
    <w:p w14:paraId="0FDE4AC8" w14:textId="77777777" w:rsidR="00AE0A86" w:rsidRDefault="00AE0A86">
      <w:pPr>
        <w:spacing w:after="160" w:line="259" w:lineRule="auto"/>
        <w:rPr>
          <w:rFonts w:ascii="Calibri" w:hAnsi="Calibri"/>
          <w:szCs w:val="18"/>
        </w:rPr>
      </w:pPr>
      <w:r>
        <w:rPr>
          <w:rFonts w:ascii="Calibri" w:hAnsi="Calibri"/>
          <w:szCs w:val="18"/>
        </w:rPr>
        <w:br w:type="page"/>
      </w:r>
    </w:p>
    <w:p w14:paraId="5DE794B9" w14:textId="77777777" w:rsidR="00416C4D" w:rsidRPr="00416C4D" w:rsidRDefault="002E5130" w:rsidP="00784641">
      <w:pPr>
        <w:jc w:val="both"/>
        <w:rPr>
          <w:rFonts w:ascii="Calibri" w:hAnsi="Calibri"/>
          <w:b/>
          <w:szCs w:val="18"/>
        </w:rPr>
      </w:pPr>
      <w:r>
        <w:rPr>
          <w:rFonts w:ascii="Calibri" w:hAnsi="Calibri"/>
          <w:b/>
          <w:szCs w:val="18"/>
        </w:rPr>
        <w:lastRenderedPageBreak/>
        <w:t>7</w:t>
      </w:r>
      <w:r w:rsidR="00416C4D">
        <w:rPr>
          <w:rFonts w:ascii="Calibri" w:hAnsi="Calibri"/>
          <w:b/>
          <w:szCs w:val="18"/>
        </w:rPr>
        <w:t xml:space="preserve">. </w:t>
      </w:r>
      <w:r w:rsidR="00416C4D">
        <w:rPr>
          <w:rFonts w:ascii="Calibri" w:hAnsi="Calibri"/>
          <w:b/>
          <w:szCs w:val="18"/>
        </w:rPr>
        <w:tab/>
      </w:r>
      <w:r w:rsidR="00AE0A86">
        <w:rPr>
          <w:rFonts w:ascii="Calibri" w:hAnsi="Calibri"/>
          <w:b/>
          <w:szCs w:val="18"/>
        </w:rPr>
        <w:t>Intangible assets</w:t>
      </w:r>
    </w:p>
    <w:tbl>
      <w:tblPr>
        <w:tblW w:w="9513" w:type="dxa"/>
        <w:tblInd w:w="93" w:type="dxa"/>
        <w:tblLook w:val="04A0" w:firstRow="1" w:lastRow="0" w:firstColumn="1" w:lastColumn="0" w:noHBand="0" w:noVBand="1"/>
      </w:tblPr>
      <w:tblGrid>
        <w:gridCol w:w="5362"/>
        <w:gridCol w:w="1274"/>
        <w:gridCol w:w="283"/>
        <w:gridCol w:w="1037"/>
        <w:gridCol w:w="284"/>
        <w:gridCol w:w="1273"/>
      </w:tblGrid>
      <w:tr w:rsidR="00416C4D" w:rsidRPr="00416C4D" w14:paraId="0244E045" w14:textId="77777777" w:rsidTr="00416C4D">
        <w:trPr>
          <w:trHeight w:val="480"/>
        </w:trPr>
        <w:tc>
          <w:tcPr>
            <w:tcW w:w="5402" w:type="dxa"/>
            <w:tcBorders>
              <w:top w:val="nil"/>
              <w:left w:val="nil"/>
              <w:bottom w:val="nil"/>
              <w:right w:val="nil"/>
            </w:tcBorders>
            <w:shd w:val="clear" w:color="000000" w:fill="FFFFFF"/>
            <w:hideMark/>
          </w:tcPr>
          <w:p w14:paraId="184174A5" w14:textId="77777777" w:rsidR="00416C4D" w:rsidRPr="00416C4D" w:rsidRDefault="00416C4D" w:rsidP="00416C4D">
            <w:pPr>
              <w:spacing w:after="0"/>
              <w:jc w:val="both"/>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2224A5F3"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Bespoke applications</w:t>
            </w:r>
          </w:p>
        </w:tc>
        <w:tc>
          <w:tcPr>
            <w:tcW w:w="283" w:type="dxa"/>
            <w:tcBorders>
              <w:top w:val="nil"/>
              <w:left w:val="nil"/>
              <w:bottom w:val="nil"/>
              <w:right w:val="nil"/>
            </w:tcBorders>
            <w:shd w:val="clear" w:color="000000" w:fill="FFFFFF"/>
            <w:noWrap/>
            <w:vAlign w:val="bottom"/>
            <w:hideMark/>
          </w:tcPr>
          <w:p w14:paraId="72FF241B"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41190EED" w14:textId="77777777" w:rsidR="00416C4D" w:rsidRDefault="00AE0A86" w:rsidP="00416C4D">
            <w:pPr>
              <w:spacing w:after="0"/>
              <w:jc w:val="right"/>
              <w:rPr>
                <w:rFonts w:ascii="Calibri" w:hAnsi="Calibri"/>
                <w:szCs w:val="18"/>
                <w:lang w:eastAsia="en-GB"/>
              </w:rPr>
            </w:pPr>
            <w:r>
              <w:rPr>
                <w:rFonts w:ascii="Calibri" w:hAnsi="Calibri"/>
                <w:szCs w:val="18"/>
                <w:lang w:eastAsia="en-GB"/>
              </w:rPr>
              <w:t>Intellectual</w:t>
            </w:r>
          </w:p>
          <w:p w14:paraId="795E8252" w14:textId="77777777" w:rsidR="00AE0A86" w:rsidRPr="00416C4D" w:rsidRDefault="00AE0A86" w:rsidP="00416C4D">
            <w:pPr>
              <w:spacing w:after="0"/>
              <w:jc w:val="right"/>
              <w:rPr>
                <w:rFonts w:ascii="Calibri" w:hAnsi="Calibri"/>
                <w:szCs w:val="18"/>
                <w:lang w:eastAsia="en-GB"/>
              </w:rPr>
            </w:pPr>
            <w:r>
              <w:rPr>
                <w:rFonts w:ascii="Calibri" w:hAnsi="Calibri"/>
                <w:szCs w:val="18"/>
                <w:lang w:eastAsia="en-GB"/>
              </w:rPr>
              <w:t>Property</w:t>
            </w:r>
          </w:p>
        </w:tc>
        <w:tc>
          <w:tcPr>
            <w:tcW w:w="284" w:type="dxa"/>
            <w:tcBorders>
              <w:top w:val="nil"/>
              <w:left w:val="nil"/>
              <w:bottom w:val="nil"/>
              <w:right w:val="nil"/>
            </w:tcBorders>
            <w:shd w:val="clear" w:color="000000" w:fill="FFFFFF"/>
            <w:noWrap/>
            <w:vAlign w:val="bottom"/>
            <w:hideMark/>
          </w:tcPr>
          <w:p w14:paraId="39BA7708"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41752F78" w14:textId="77777777" w:rsidR="00AE0A86" w:rsidRDefault="00416C4D" w:rsidP="00416C4D">
            <w:pPr>
              <w:spacing w:after="0"/>
              <w:jc w:val="right"/>
              <w:rPr>
                <w:rFonts w:ascii="Calibri" w:hAnsi="Calibri"/>
                <w:b/>
                <w:bCs/>
                <w:szCs w:val="18"/>
                <w:lang w:eastAsia="en-GB"/>
              </w:rPr>
            </w:pPr>
            <w:r w:rsidRPr="00416C4D">
              <w:rPr>
                <w:rFonts w:ascii="Calibri" w:hAnsi="Calibri"/>
                <w:b/>
                <w:bCs/>
                <w:szCs w:val="18"/>
                <w:lang w:eastAsia="en-GB"/>
              </w:rPr>
              <w:t>Intangible</w:t>
            </w:r>
          </w:p>
          <w:p w14:paraId="47AAE5F6" w14:textId="77777777" w:rsidR="009928C6" w:rsidRDefault="00AE0A86">
            <w:pPr>
              <w:spacing w:after="0"/>
              <w:jc w:val="right"/>
              <w:rPr>
                <w:rFonts w:ascii="Calibri" w:hAnsi="Calibri"/>
                <w:b/>
                <w:bCs/>
                <w:szCs w:val="18"/>
                <w:lang w:eastAsia="en-GB"/>
              </w:rPr>
            </w:pPr>
            <w:r>
              <w:rPr>
                <w:rFonts w:ascii="Calibri" w:hAnsi="Calibri"/>
                <w:b/>
                <w:bCs/>
                <w:szCs w:val="18"/>
                <w:lang w:eastAsia="en-GB"/>
              </w:rPr>
              <w:t>assets</w:t>
            </w:r>
          </w:p>
        </w:tc>
      </w:tr>
      <w:tr w:rsidR="00416C4D" w:rsidRPr="00416C4D" w14:paraId="43244130" w14:textId="77777777" w:rsidTr="00416C4D">
        <w:trPr>
          <w:trHeight w:val="240"/>
        </w:trPr>
        <w:tc>
          <w:tcPr>
            <w:tcW w:w="5402" w:type="dxa"/>
            <w:tcBorders>
              <w:top w:val="nil"/>
              <w:left w:val="nil"/>
              <w:bottom w:val="nil"/>
              <w:right w:val="nil"/>
            </w:tcBorders>
            <w:shd w:val="clear" w:color="000000" w:fill="FFFFFF"/>
            <w:hideMark/>
          </w:tcPr>
          <w:p w14:paraId="275C58A3" w14:textId="77777777" w:rsidR="00416C4D" w:rsidRPr="00416C4D" w:rsidRDefault="00416C4D" w:rsidP="00416C4D">
            <w:pPr>
              <w:spacing w:after="0"/>
              <w:jc w:val="both"/>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1CC12715"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£'000</w:t>
            </w:r>
          </w:p>
        </w:tc>
        <w:tc>
          <w:tcPr>
            <w:tcW w:w="283" w:type="dxa"/>
            <w:tcBorders>
              <w:top w:val="nil"/>
              <w:left w:val="nil"/>
              <w:bottom w:val="nil"/>
              <w:right w:val="nil"/>
            </w:tcBorders>
            <w:shd w:val="clear" w:color="000000" w:fill="FFFFFF"/>
            <w:noWrap/>
            <w:vAlign w:val="bottom"/>
            <w:hideMark/>
          </w:tcPr>
          <w:p w14:paraId="39050E25"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11FC8027"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£'000</w:t>
            </w:r>
          </w:p>
        </w:tc>
        <w:tc>
          <w:tcPr>
            <w:tcW w:w="284" w:type="dxa"/>
            <w:tcBorders>
              <w:top w:val="nil"/>
              <w:left w:val="nil"/>
              <w:bottom w:val="nil"/>
              <w:right w:val="nil"/>
            </w:tcBorders>
            <w:shd w:val="clear" w:color="000000" w:fill="FFFFFF"/>
            <w:noWrap/>
            <w:vAlign w:val="bottom"/>
            <w:hideMark/>
          </w:tcPr>
          <w:p w14:paraId="1ECD226D"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3EAE634C"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£'000</w:t>
            </w:r>
          </w:p>
        </w:tc>
      </w:tr>
      <w:tr w:rsidR="00416C4D" w:rsidRPr="00416C4D" w14:paraId="0500CCC5" w14:textId="77777777" w:rsidTr="00416C4D">
        <w:trPr>
          <w:trHeight w:val="240"/>
        </w:trPr>
        <w:tc>
          <w:tcPr>
            <w:tcW w:w="5402" w:type="dxa"/>
            <w:tcBorders>
              <w:top w:val="nil"/>
              <w:left w:val="nil"/>
              <w:bottom w:val="nil"/>
              <w:right w:val="nil"/>
            </w:tcBorders>
            <w:shd w:val="clear" w:color="000000" w:fill="FFFFFF"/>
            <w:vAlign w:val="bottom"/>
            <w:hideMark/>
          </w:tcPr>
          <w:p w14:paraId="60E59B76" w14:textId="77777777" w:rsidR="00416C4D" w:rsidRPr="003105FC" w:rsidRDefault="00416C4D" w:rsidP="00416C4D">
            <w:pPr>
              <w:spacing w:after="0"/>
              <w:jc w:val="both"/>
              <w:rPr>
                <w:rFonts w:ascii="Calibri" w:hAnsi="Calibri"/>
                <w:b/>
                <w:bCs/>
                <w:szCs w:val="18"/>
                <w:lang w:eastAsia="en-GB"/>
              </w:rPr>
            </w:pPr>
            <w:r w:rsidRPr="003105FC">
              <w:rPr>
                <w:rFonts w:ascii="Calibri" w:hAnsi="Calibri"/>
                <w:b/>
                <w:bCs/>
                <w:szCs w:val="18"/>
                <w:lang w:eastAsia="en-GB"/>
              </w:rPr>
              <w:t xml:space="preserve">Cost </w:t>
            </w:r>
          </w:p>
        </w:tc>
        <w:tc>
          <w:tcPr>
            <w:tcW w:w="1276" w:type="dxa"/>
            <w:tcBorders>
              <w:top w:val="nil"/>
              <w:left w:val="nil"/>
              <w:bottom w:val="nil"/>
              <w:right w:val="nil"/>
            </w:tcBorders>
            <w:shd w:val="clear" w:color="000000" w:fill="FFFFFF"/>
            <w:vAlign w:val="bottom"/>
            <w:hideMark/>
          </w:tcPr>
          <w:p w14:paraId="6389F394"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283" w:type="dxa"/>
            <w:tcBorders>
              <w:top w:val="nil"/>
              <w:left w:val="nil"/>
              <w:bottom w:val="nil"/>
              <w:right w:val="nil"/>
            </w:tcBorders>
            <w:shd w:val="clear" w:color="000000" w:fill="FFFFFF"/>
            <w:noWrap/>
            <w:vAlign w:val="bottom"/>
            <w:hideMark/>
          </w:tcPr>
          <w:p w14:paraId="3E525C51"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78AC6A50"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284" w:type="dxa"/>
            <w:tcBorders>
              <w:top w:val="nil"/>
              <w:left w:val="nil"/>
              <w:bottom w:val="nil"/>
              <w:right w:val="nil"/>
            </w:tcBorders>
            <w:shd w:val="clear" w:color="000000" w:fill="FFFFFF"/>
            <w:noWrap/>
            <w:vAlign w:val="bottom"/>
            <w:hideMark/>
          </w:tcPr>
          <w:p w14:paraId="09776591"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448031BC" w14:textId="77777777" w:rsidR="00416C4D" w:rsidRPr="00416C4D" w:rsidRDefault="00416C4D" w:rsidP="00416C4D">
            <w:pPr>
              <w:spacing w:after="0"/>
              <w:rPr>
                <w:rFonts w:ascii="Calibri" w:hAnsi="Calibri"/>
                <w:b/>
                <w:bCs/>
                <w:szCs w:val="18"/>
                <w:lang w:eastAsia="en-GB"/>
              </w:rPr>
            </w:pPr>
            <w:r w:rsidRPr="00416C4D">
              <w:rPr>
                <w:rFonts w:ascii="Calibri" w:hAnsi="Calibri"/>
                <w:b/>
                <w:bCs/>
                <w:szCs w:val="18"/>
                <w:lang w:eastAsia="en-GB"/>
              </w:rPr>
              <w:t> </w:t>
            </w:r>
          </w:p>
        </w:tc>
      </w:tr>
      <w:tr w:rsidR="00416C4D" w:rsidRPr="00416C4D" w14:paraId="47C13217" w14:textId="77777777" w:rsidTr="00416C4D">
        <w:trPr>
          <w:trHeight w:val="240"/>
        </w:trPr>
        <w:tc>
          <w:tcPr>
            <w:tcW w:w="5402" w:type="dxa"/>
            <w:tcBorders>
              <w:top w:val="nil"/>
              <w:left w:val="nil"/>
              <w:bottom w:val="nil"/>
              <w:right w:val="nil"/>
            </w:tcBorders>
            <w:shd w:val="clear" w:color="000000" w:fill="FFFFFF"/>
            <w:vAlign w:val="bottom"/>
            <w:hideMark/>
          </w:tcPr>
          <w:p w14:paraId="0ABC6262" w14:textId="77777777" w:rsidR="00416C4D" w:rsidRPr="003105FC" w:rsidRDefault="001F11DD" w:rsidP="00416C4D">
            <w:pPr>
              <w:spacing w:after="0"/>
              <w:jc w:val="both"/>
              <w:rPr>
                <w:rFonts w:ascii="Calibri" w:hAnsi="Calibri"/>
                <w:szCs w:val="18"/>
                <w:lang w:eastAsia="en-GB"/>
              </w:rPr>
            </w:pPr>
            <w:r w:rsidRPr="001F11DD">
              <w:rPr>
                <w:rFonts w:ascii="Calibri" w:hAnsi="Calibri"/>
                <w:szCs w:val="18"/>
                <w:lang w:eastAsia="en-GB"/>
              </w:rPr>
              <w:t>At 31 December 2015</w:t>
            </w:r>
          </w:p>
        </w:tc>
        <w:tc>
          <w:tcPr>
            <w:tcW w:w="1276" w:type="dxa"/>
            <w:tcBorders>
              <w:top w:val="nil"/>
              <w:left w:val="nil"/>
              <w:bottom w:val="nil"/>
              <w:right w:val="nil"/>
            </w:tcBorders>
            <w:shd w:val="clear" w:color="000000" w:fill="FFFFFF"/>
            <w:vAlign w:val="center"/>
            <w:hideMark/>
          </w:tcPr>
          <w:p w14:paraId="781701A5"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1,051 </w:t>
            </w:r>
          </w:p>
        </w:tc>
        <w:tc>
          <w:tcPr>
            <w:tcW w:w="283" w:type="dxa"/>
            <w:tcBorders>
              <w:top w:val="nil"/>
              <w:left w:val="nil"/>
              <w:bottom w:val="nil"/>
              <w:right w:val="nil"/>
            </w:tcBorders>
            <w:shd w:val="clear" w:color="000000" w:fill="FFFFFF"/>
            <w:noWrap/>
            <w:vAlign w:val="bottom"/>
            <w:hideMark/>
          </w:tcPr>
          <w:p w14:paraId="25A7120D"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center"/>
            <w:hideMark/>
          </w:tcPr>
          <w:p w14:paraId="156C40FC"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  </w:t>
            </w:r>
          </w:p>
        </w:tc>
        <w:tc>
          <w:tcPr>
            <w:tcW w:w="284" w:type="dxa"/>
            <w:tcBorders>
              <w:top w:val="nil"/>
              <w:left w:val="nil"/>
              <w:bottom w:val="nil"/>
              <w:right w:val="nil"/>
            </w:tcBorders>
            <w:shd w:val="clear" w:color="000000" w:fill="FFFFFF"/>
            <w:noWrap/>
            <w:vAlign w:val="bottom"/>
            <w:hideMark/>
          </w:tcPr>
          <w:p w14:paraId="7505C93A"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center"/>
            <w:hideMark/>
          </w:tcPr>
          <w:p w14:paraId="7A05B36C"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1,051 </w:t>
            </w:r>
          </w:p>
        </w:tc>
      </w:tr>
      <w:tr w:rsidR="00416C4D" w:rsidRPr="00416C4D" w14:paraId="5AAD7ADC" w14:textId="77777777" w:rsidTr="00416C4D">
        <w:trPr>
          <w:trHeight w:val="240"/>
        </w:trPr>
        <w:tc>
          <w:tcPr>
            <w:tcW w:w="5402" w:type="dxa"/>
            <w:tcBorders>
              <w:top w:val="nil"/>
              <w:left w:val="nil"/>
              <w:bottom w:val="nil"/>
              <w:right w:val="nil"/>
            </w:tcBorders>
            <w:shd w:val="clear" w:color="000000" w:fill="FFFFFF"/>
            <w:vAlign w:val="bottom"/>
            <w:hideMark/>
          </w:tcPr>
          <w:p w14:paraId="59AB7FEF" w14:textId="77777777" w:rsidR="00416C4D" w:rsidRPr="003105FC" w:rsidRDefault="00416C4D" w:rsidP="00416C4D">
            <w:pPr>
              <w:spacing w:after="0"/>
              <w:jc w:val="both"/>
              <w:rPr>
                <w:rFonts w:ascii="Calibri" w:hAnsi="Calibri"/>
                <w:szCs w:val="18"/>
                <w:lang w:eastAsia="en-GB"/>
              </w:rPr>
            </w:pPr>
            <w:r w:rsidRPr="003105FC">
              <w:rPr>
                <w:rFonts w:ascii="Calibri" w:hAnsi="Calibri"/>
                <w:szCs w:val="18"/>
                <w:lang w:eastAsia="en-GB"/>
              </w:rPr>
              <w:t>Additions</w:t>
            </w:r>
          </w:p>
        </w:tc>
        <w:tc>
          <w:tcPr>
            <w:tcW w:w="1276" w:type="dxa"/>
            <w:tcBorders>
              <w:top w:val="nil"/>
              <w:left w:val="nil"/>
              <w:bottom w:val="nil"/>
              <w:right w:val="nil"/>
            </w:tcBorders>
            <w:shd w:val="clear" w:color="000000" w:fill="FFFFFF"/>
            <w:vAlign w:val="center"/>
            <w:hideMark/>
          </w:tcPr>
          <w:p w14:paraId="2357DD07"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186 </w:t>
            </w:r>
          </w:p>
        </w:tc>
        <w:tc>
          <w:tcPr>
            <w:tcW w:w="283" w:type="dxa"/>
            <w:tcBorders>
              <w:top w:val="nil"/>
              <w:left w:val="nil"/>
              <w:bottom w:val="nil"/>
              <w:right w:val="nil"/>
            </w:tcBorders>
            <w:shd w:val="clear" w:color="000000" w:fill="FFFFFF"/>
            <w:noWrap/>
            <w:vAlign w:val="bottom"/>
            <w:hideMark/>
          </w:tcPr>
          <w:p w14:paraId="7CC709EA"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center"/>
            <w:hideMark/>
          </w:tcPr>
          <w:p w14:paraId="7AD454EF"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1,737 </w:t>
            </w:r>
          </w:p>
        </w:tc>
        <w:tc>
          <w:tcPr>
            <w:tcW w:w="284" w:type="dxa"/>
            <w:tcBorders>
              <w:top w:val="nil"/>
              <w:left w:val="nil"/>
              <w:bottom w:val="nil"/>
              <w:right w:val="nil"/>
            </w:tcBorders>
            <w:shd w:val="clear" w:color="000000" w:fill="FFFFFF"/>
            <w:noWrap/>
            <w:vAlign w:val="bottom"/>
            <w:hideMark/>
          </w:tcPr>
          <w:p w14:paraId="3ECB49A3"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center"/>
            <w:hideMark/>
          </w:tcPr>
          <w:p w14:paraId="17D4D2F3"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1,923 </w:t>
            </w:r>
          </w:p>
        </w:tc>
      </w:tr>
      <w:tr w:rsidR="00416C4D" w:rsidRPr="00416C4D" w14:paraId="37DB3248" w14:textId="77777777" w:rsidTr="00416C4D">
        <w:trPr>
          <w:trHeight w:val="240"/>
        </w:trPr>
        <w:tc>
          <w:tcPr>
            <w:tcW w:w="5402" w:type="dxa"/>
            <w:tcBorders>
              <w:top w:val="nil"/>
              <w:left w:val="nil"/>
              <w:bottom w:val="nil"/>
              <w:right w:val="nil"/>
            </w:tcBorders>
            <w:shd w:val="clear" w:color="000000" w:fill="FFFFFF"/>
            <w:vAlign w:val="bottom"/>
            <w:hideMark/>
          </w:tcPr>
          <w:p w14:paraId="4C4F27CE" w14:textId="77777777" w:rsidR="00416C4D" w:rsidRPr="003105FC" w:rsidRDefault="00416C4D" w:rsidP="00416C4D">
            <w:pPr>
              <w:spacing w:after="0"/>
              <w:jc w:val="both"/>
              <w:rPr>
                <w:rFonts w:ascii="Calibri" w:hAnsi="Calibri"/>
                <w:b/>
                <w:bCs/>
                <w:szCs w:val="18"/>
                <w:lang w:eastAsia="en-GB"/>
              </w:rPr>
            </w:pPr>
            <w:r w:rsidRPr="003105FC">
              <w:rPr>
                <w:rFonts w:ascii="Calibri" w:hAnsi="Calibri"/>
                <w:b/>
                <w:bCs/>
                <w:szCs w:val="18"/>
                <w:lang w:eastAsia="en-GB"/>
              </w:rPr>
              <w:t>At 30 June 2016</w:t>
            </w:r>
          </w:p>
        </w:tc>
        <w:tc>
          <w:tcPr>
            <w:tcW w:w="1276" w:type="dxa"/>
            <w:tcBorders>
              <w:top w:val="single" w:sz="4" w:space="0" w:color="auto"/>
              <w:left w:val="nil"/>
              <w:bottom w:val="single" w:sz="4" w:space="0" w:color="auto"/>
              <w:right w:val="nil"/>
            </w:tcBorders>
            <w:shd w:val="clear" w:color="000000" w:fill="FFFFFF"/>
            <w:vAlign w:val="center"/>
            <w:hideMark/>
          </w:tcPr>
          <w:p w14:paraId="13B6FA88"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1,236 </w:t>
            </w:r>
          </w:p>
        </w:tc>
        <w:tc>
          <w:tcPr>
            <w:tcW w:w="283" w:type="dxa"/>
            <w:tcBorders>
              <w:top w:val="nil"/>
              <w:left w:val="nil"/>
              <w:bottom w:val="nil"/>
              <w:right w:val="nil"/>
            </w:tcBorders>
            <w:shd w:val="clear" w:color="000000" w:fill="FFFFFF"/>
            <w:noWrap/>
            <w:vAlign w:val="bottom"/>
            <w:hideMark/>
          </w:tcPr>
          <w:p w14:paraId="6DB5EE13"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single" w:sz="4" w:space="0" w:color="auto"/>
              <w:left w:val="nil"/>
              <w:bottom w:val="single" w:sz="4" w:space="0" w:color="auto"/>
              <w:right w:val="nil"/>
            </w:tcBorders>
            <w:shd w:val="clear" w:color="000000" w:fill="FFFFFF"/>
            <w:vAlign w:val="center"/>
            <w:hideMark/>
          </w:tcPr>
          <w:p w14:paraId="777B315B"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1,737 </w:t>
            </w:r>
          </w:p>
        </w:tc>
        <w:tc>
          <w:tcPr>
            <w:tcW w:w="284" w:type="dxa"/>
            <w:tcBorders>
              <w:top w:val="nil"/>
              <w:left w:val="nil"/>
              <w:bottom w:val="nil"/>
              <w:right w:val="nil"/>
            </w:tcBorders>
            <w:shd w:val="clear" w:color="000000" w:fill="FFFFFF"/>
            <w:noWrap/>
            <w:vAlign w:val="bottom"/>
            <w:hideMark/>
          </w:tcPr>
          <w:p w14:paraId="4C2163F9"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single" w:sz="4" w:space="0" w:color="auto"/>
              <w:left w:val="nil"/>
              <w:bottom w:val="single" w:sz="4" w:space="0" w:color="auto"/>
              <w:right w:val="nil"/>
            </w:tcBorders>
            <w:shd w:val="clear" w:color="000000" w:fill="FFFFFF"/>
            <w:vAlign w:val="center"/>
            <w:hideMark/>
          </w:tcPr>
          <w:p w14:paraId="3805214C"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2,974 </w:t>
            </w:r>
          </w:p>
        </w:tc>
      </w:tr>
      <w:tr w:rsidR="00416C4D" w:rsidRPr="00416C4D" w14:paraId="481AE52A" w14:textId="77777777" w:rsidTr="00416C4D">
        <w:trPr>
          <w:trHeight w:val="240"/>
        </w:trPr>
        <w:tc>
          <w:tcPr>
            <w:tcW w:w="5402" w:type="dxa"/>
            <w:tcBorders>
              <w:top w:val="nil"/>
              <w:left w:val="nil"/>
              <w:bottom w:val="nil"/>
              <w:right w:val="nil"/>
            </w:tcBorders>
            <w:shd w:val="clear" w:color="000000" w:fill="FFFFFF"/>
            <w:vAlign w:val="bottom"/>
            <w:hideMark/>
          </w:tcPr>
          <w:p w14:paraId="6F24CD8B" w14:textId="77777777" w:rsidR="00416C4D" w:rsidRPr="003105FC" w:rsidRDefault="00416C4D" w:rsidP="00416C4D">
            <w:pPr>
              <w:spacing w:after="0"/>
              <w:jc w:val="both"/>
              <w:rPr>
                <w:rFonts w:ascii="Calibri" w:hAnsi="Calibri"/>
                <w:szCs w:val="18"/>
                <w:lang w:eastAsia="en-GB"/>
              </w:rPr>
            </w:pPr>
            <w:r w:rsidRPr="003105FC">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71EE4215"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w:t>
            </w:r>
          </w:p>
        </w:tc>
        <w:tc>
          <w:tcPr>
            <w:tcW w:w="283" w:type="dxa"/>
            <w:tcBorders>
              <w:top w:val="nil"/>
              <w:left w:val="nil"/>
              <w:bottom w:val="nil"/>
              <w:right w:val="nil"/>
            </w:tcBorders>
            <w:shd w:val="clear" w:color="000000" w:fill="FFFFFF"/>
            <w:noWrap/>
            <w:vAlign w:val="bottom"/>
            <w:hideMark/>
          </w:tcPr>
          <w:p w14:paraId="5C6A11BE"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6C379870"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w:t>
            </w:r>
          </w:p>
        </w:tc>
        <w:tc>
          <w:tcPr>
            <w:tcW w:w="284" w:type="dxa"/>
            <w:tcBorders>
              <w:top w:val="nil"/>
              <w:left w:val="nil"/>
              <w:bottom w:val="nil"/>
              <w:right w:val="nil"/>
            </w:tcBorders>
            <w:shd w:val="clear" w:color="000000" w:fill="FFFFFF"/>
            <w:noWrap/>
            <w:vAlign w:val="bottom"/>
            <w:hideMark/>
          </w:tcPr>
          <w:p w14:paraId="2BDFE88A"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47E8C6AE"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r>
      <w:tr w:rsidR="00416C4D" w:rsidRPr="00416C4D" w14:paraId="3E8438F6" w14:textId="77777777" w:rsidTr="00416C4D">
        <w:trPr>
          <w:trHeight w:val="240"/>
        </w:trPr>
        <w:tc>
          <w:tcPr>
            <w:tcW w:w="5402" w:type="dxa"/>
            <w:tcBorders>
              <w:top w:val="nil"/>
              <w:left w:val="nil"/>
              <w:bottom w:val="nil"/>
              <w:right w:val="nil"/>
            </w:tcBorders>
            <w:shd w:val="clear" w:color="000000" w:fill="FFFFFF"/>
            <w:vAlign w:val="bottom"/>
            <w:hideMark/>
          </w:tcPr>
          <w:p w14:paraId="4AD661EF" w14:textId="77777777" w:rsidR="00416C4D" w:rsidRPr="003105FC" w:rsidRDefault="00416C4D" w:rsidP="00416C4D">
            <w:pPr>
              <w:spacing w:after="0"/>
              <w:jc w:val="both"/>
              <w:rPr>
                <w:rFonts w:ascii="Calibri" w:hAnsi="Calibri"/>
                <w:b/>
                <w:bCs/>
                <w:szCs w:val="18"/>
                <w:lang w:eastAsia="en-GB"/>
              </w:rPr>
            </w:pPr>
            <w:r w:rsidRPr="003105FC">
              <w:rPr>
                <w:rFonts w:ascii="Calibri" w:hAnsi="Calibri"/>
                <w:b/>
                <w:bCs/>
                <w:szCs w:val="18"/>
                <w:lang w:eastAsia="en-GB"/>
              </w:rPr>
              <w:t>Depreciation</w:t>
            </w:r>
          </w:p>
        </w:tc>
        <w:tc>
          <w:tcPr>
            <w:tcW w:w="1276" w:type="dxa"/>
            <w:tcBorders>
              <w:top w:val="nil"/>
              <w:left w:val="nil"/>
              <w:bottom w:val="nil"/>
              <w:right w:val="nil"/>
            </w:tcBorders>
            <w:shd w:val="clear" w:color="000000" w:fill="FFFFFF"/>
            <w:vAlign w:val="bottom"/>
            <w:hideMark/>
          </w:tcPr>
          <w:p w14:paraId="1D77FA53"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c>
          <w:tcPr>
            <w:tcW w:w="283" w:type="dxa"/>
            <w:tcBorders>
              <w:top w:val="nil"/>
              <w:left w:val="nil"/>
              <w:bottom w:val="nil"/>
              <w:right w:val="nil"/>
            </w:tcBorders>
            <w:shd w:val="clear" w:color="000000" w:fill="FFFFFF"/>
            <w:noWrap/>
            <w:vAlign w:val="bottom"/>
            <w:hideMark/>
          </w:tcPr>
          <w:p w14:paraId="1ECAF63B"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6B54F220"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c>
          <w:tcPr>
            <w:tcW w:w="284" w:type="dxa"/>
            <w:tcBorders>
              <w:top w:val="nil"/>
              <w:left w:val="nil"/>
              <w:bottom w:val="nil"/>
              <w:right w:val="nil"/>
            </w:tcBorders>
            <w:shd w:val="clear" w:color="000000" w:fill="FFFFFF"/>
            <w:noWrap/>
            <w:vAlign w:val="bottom"/>
            <w:hideMark/>
          </w:tcPr>
          <w:p w14:paraId="34D99469"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1A1F5172"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r>
      <w:tr w:rsidR="00416C4D" w:rsidRPr="00416C4D" w14:paraId="2CBE0959" w14:textId="77777777" w:rsidTr="00416C4D">
        <w:trPr>
          <w:trHeight w:val="240"/>
        </w:trPr>
        <w:tc>
          <w:tcPr>
            <w:tcW w:w="5402" w:type="dxa"/>
            <w:tcBorders>
              <w:top w:val="nil"/>
              <w:left w:val="nil"/>
              <w:bottom w:val="nil"/>
              <w:right w:val="nil"/>
            </w:tcBorders>
            <w:shd w:val="clear" w:color="000000" w:fill="FFFFFF"/>
            <w:vAlign w:val="bottom"/>
            <w:hideMark/>
          </w:tcPr>
          <w:p w14:paraId="718A1832" w14:textId="77777777" w:rsidR="00416C4D" w:rsidRPr="003105FC" w:rsidRDefault="001F11DD" w:rsidP="00416C4D">
            <w:pPr>
              <w:spacing w:after="0"/>
              <w:jc w:val="both"/>
              <w:rPr>
                <w:rFonts w:ascii="Calibri" w:hAnsi="Calibri"/>
                <w:szCs w:val="18"/>
                <w:lang w:eastAsia="en-GB"/>
              </w:rPr>
            </w:pPr>
            <w:r w:rsidRPr="001F11DD">
              <w:rPr>
                <w:rFonts w:ascii="Calibri" w:hAnsi="Calibri"/>
                <w:szCs w:val="18"/>
                <w:lang w:eastAsia="en-GB"/>
              </w:rPr>
              <w:t>At 31 December 2015</w:t>
            </w:r>
          </w:p>
        </w:tc>
        <w:tc>
          <w:tcPr>
            <w:tcW w:w="1276" w:type="dxa"/>
            <w:tcBorders>
              <w:top w:val="nil"/>
              <w:left w:val="nil"/>
              <w:bottom w:val="nil"/>
              <w:right w:val="nil"/>
            </w:tcBorders>
            <w:shd w:val="clear" w:color="000000" w:fill="FFFFFF"/>
            <w:vAlign w:val="center"/>
            <w:hideMark/>
          </w:tcPr>
          <w:p w14:paraId="59CF2668"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635 </w:t>
            </w:r>
          </w:p>
        </w:tc>
        <w:tc>
          <w:tcPr>
            <w:tcW w:w="283" w:type="dxa"/>
            <w:tcBorders>
              <w:top w:val="nil"/>
              <w:left w:val="nil"/>
              <w:bottom w:val="nil"/>
              <w:right w:val="nil"/>
            </w:tcBorders>
            <w:shd w:val="clear" w:color="000000" w:fill="FFFFFF"/>
            <w:noWrap/>
            <w:vAlign w:val="bottom"/>
            <w:hideMark/>
          </w:tcPr>
          <w:p w14:paraId="7B014183"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center"/>
            <w:hideMark/>
          </w:tcPr>
          <w:p w14:paraId="7A3B47B5"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  </w:t>
            </w:r>
          </w:p>
        </w:tc>
        <w:tc>
          <w:tcPr>
            <w:tcW w:w="284" w:type="dxa"/>
            <w:tcBorders>
              <w:top w:val="nil"/>
              <w:left w:val="nil"/>
              <w:bottom w:val="nil"/>
              <w:right w:val="nil"/>
            </w:tcBorders>
            <w:shd w:val="clear" w:color="000000" w:fill="FFFFFF"/>
            <w:noWrap/>
            <w:vAlign w:val="bottom"/>
            <w:hideMark/>
          </w:tcPr>
          <w:p w14:paraId="4F3AD42D"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center"/>
            <w:hideMark/>
          </w:tcPr>
          <w:p w14:paraId="1EEAB211"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635 </w:t>
            </w:r>
          </w:p>
        </w:tc>
      </w:tr>
      <w:tr w:rsidR="00416C4D" w:rsidRPr="00416C4D" w14:paraId="2B9855AC" w14:textId="77777777" w:rsidTr="00416C4D">
        <w:trPr>
          <w:trHeight w:val="240"/>
        </w:trPr>
        <w:tc>
          <w:tcPr>
            <w:tcW w:w="5402" w:type="dxa"/>
            <w:tcBorders>
              <w:top w:val="nil"/>
              <w:left w:val="nil"/>
              <w:bottom w:val="nil"/>
              <w:right w:val="nil"/>
            </w:tcBorders>
            <w:shd w:val="clear" w:color="000000" w:fill="FFFFFF"/>
            <w:vAlign w:val="bottom"/>
            <w:hideMark/>
          </w:tcPr>
          <w:p w14:paraId="117966A3" w14:textId="77777777" w:rsidR="00416C4D" w:rsidRPr="003105FC" w:rsidRDefault="00416C4D" w:rsidP="00416C4D">
            <w:pPr>
              <w:spacing w:after="0"/>
              <w:jc w:val="both"/>
              <w:rPr>
                <w:rFonts w:ascii="Calibri" w:hAnsi="Calibri"/>
                <w:szCs w:val="18"/>
                <w:lang w:eastAsia="en-GB"/>
              </w:rPr>
            </w:pPr>
            <w:r w:rsidRPr="003105FC">
              <w:rPr>
                <w:rFonts w:ascii="Calibri" w:hAnsi="Calibri"/>
                <w:szCs w:val="18"/>
                <w:lang w:eastAsia="en-GB"/>
              </w:rPr>
              <w:t>Charge for period</w:t>
            </w:r>
          </w:p>
        </w:tc>
        <w:tc>
          <w:tcPr>
            <w:tcW w:w="1276" w:type="dxa"/>
            <w:tcBorders>
              <w:top w:val="nil"/>
              <w:left w:val="nil"/>
              <w:bottom w:val="nil"/>
              <w:right w:val="nil"/>
            </w:tcBorders>
            <w:shd w:val="clear" w:color="000000" w:fill="FFFFFF"/>
            <w:vAlign w:val="center"/>
            <w:hideMark/>
          </w:tcPr>
          <w:p w14:paraId="796343BE"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174 </w:t>
            </w:r>
          </w:p>
        </w:tc>
        <w:tc>
          <w:tcPr>
            <w:tcW w:w="283" w:type="dxa"/>
            <w:tcBorders>
              <w:top w:val="nil"/>
              <w:left w:val="nil"/>
              <w:bottom w:val="nil"/>
              <w:right w:val="nil"/>
            </w:tcBorders>
            <w:shd w:val="clear" w:color="000000" w:fill="FFFFFF"/>
            <w:noWrap/>
            <w:vAlign w:val="bottom"/>
            <w:hideMark/>
          </w:tcPr>
          <w:p w14:paraId="702AC9A1"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center"/>
            <w:hideMark/>
          </w:tcPr>
          <w:p w14:paraId="34861E33"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xml:space="preserve">139 </w:t>
            </w:r>
          </w:p>
        </w:tc>
        <w:tc>
          <w:tcPr>
            <w:tcW w:w="284" w:type="dxa"/>
            <w:tcBorders>
              <w:top w:val="nil"/>
              <w:left w:val="nil"/>
              <w:bottom w:val="nil"/>
              <w:right w:val="nil"/>
            </w:tcBorders>
            <w:shd w:val="clear" w:color="000000" w:fill="FFFFFF"/>
            <w:noWrap/>
            <w:vAlign w:val="bottom"/>
            <w:hideMark/>
          </w:tcPr>
          <w:p w14:paraId="184155FC"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center"/>
            <w:hideMark/>
          </w:tcPr>
          <w:p w14:paraId="1D8C54A7"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314 </w:t>
            </w:r>
          </w:p>
        </w:tc>
      </w:tr>
      <w:tr w:rsidR="00416C4D" w:rsidRPr="00416C4D" w14:paraId="7954CB5E" w14:textId="77777777" w:rsidTr="00416C4D">
        <w:trPr>
          <w:trHeight w:val="255"/>
        </w:trPr>
        <w:tc>
          <w:tcPr>
            <w:tcW w:w="5402" w:type="dxa"/>
            <w:tcBorders>
              <w:top w:val="nil"/>
              <w:left w:val="nil"/>
              <w:bottom w:val="nil"/>
              <w:right w:val="nil"/>
            </w:tcBorders>
            <w:shd w:val="clear" w:color="000000" w:fill="FFFFFF"/>
            <w:vAlign w:val="bottom"/>
            <w:hideMark/>
          </w:tcPr>
          <w:p w14:paraId="0E1B7A82" w14:textId="77777777" w:rsidR="00416C4D" w:rsidRPr="003105FC" w:rsidRDefault="00416C4D" w:rsidP="00416C4D">
            <w:pPr>
              <w:spacing w:after="0"/>
              <w:jc w:val="both"/>
              <w:rPr>
                <w:rFonts w:ascii="Calibri" w:hAnsi="Calibri"/>
                <w:b/>
                <w:bCs/>
                <w:szCs w:val="18"/>
                <w:lang w:eastAsia="en-GB"/>
              </w:rPr>
            </w:pPr>
            <w:r w:rsidRPr="003105FC">
              <w:rPr>
                <w:rFonts w:ascii="Calibri" w:hAnsi="Calibri"/>
                <w:b/>
                <w:bCs/>
                <w:szCs w:val="18"/>
                <w:lang w:eastAsia="en-GB"/>
              </w:rPr>
              <w:t>At 30 June 2016</w:t>
            </w:r>
          </w:p>
        </w:tc>
        <w:tc>
          <w:tcPr>
            <w:tcW w:w="1276" w:type="dxa"/>
            <w:tcBorders>
              <w:top w:val="single" w:sz="4" w:space="0" w:color="auto"/>
              <w:left w:val="nil"/>
              <w:bottom w:val="double" w:sz="6" w:space="0" w:color="auto"/>
              <w:right w:val="nil"/>
            </w:tcBorders>
            <w:shd w:val="clear" w:color="000000" w:fill="FFFFFF"/>
            <w:vAlign w:val="center"/>
            <w:hideMark/>
          </w:tcPr>
          <w:p w14:paraId="4F378A98"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809 </w:t>
            </w:r>
          </w:p>
        </w:tc>
        <w:tc>
          <w:tcPr>
            <w:tcW w:w="283" w:type="dxa"/>
            <w:tcBorders>
              <w:top w:val="nil"/>
              <w:left w:val="nil"/>
              <w:bottom w:val="nil"/>
              <w:right w:val="nil"/>
            </w:tcBorders>
            <w:shd w:val="clear" w:color="000000" w:fill="FFFFFF"/>
            <w:noWrap/>
            <w:vAlign w:val="bottom"/>
            <w:hideMark/>
          </w:tcPr>
          <w:p w14:paraId="20CCB9FE"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single" w:sz="4" w:space="0" w:color="auto"/>
              <w:left w:val="nil"/>
              <w:bottom w:val="double" w:sz="6" w:space="0" w:color="auto"/>
              <w:right w:val="nil"/>
            </w:tcBorders>
            <w:shd w:val="clear" w:color="000000" w:fill="FFFFFF"/>
            <w:vAlign w:val="center"/>
            <w:hideMark/>
          </w:tcPr>
          <w:p w14:paraId="690817C4"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139 </w:t>
            </w:r>
          </w:p>
        </w:tc>
        <w:tc>
          <w:tcPr>
            <w:tcW w:w="284" w:type="dxa"/>
            <w:tcBorders>
              <w:top w:val="nil"/>
              <w:left w:val="nil"/>
              <w:bottom w:val="nil"/>
              <w:right w:val="nil"/>
            </w:tcBorders>
            <w:shd w:val="clear" w:color="000000" w:fill="FFFFFF"/>
            <w:noWrap/>
            <w:vAlign w:val="bottom"/>
            <w:hideMark/>
          </w:tcPr>
          <w:p w14:paraId="7684B9E1"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single" w:sz="4" w:space="0" w:color="auto"/>
              <w:left w:val="nil"/>
              <w:bottom w:val="double" w:sz="6" w:space="0" w:color="auto"/>
              <w:right w:val="nil"/>
            </w:tcBorders>
            <w:shd w:val="clear" w:color="000000" w:fill="FFFFFF"/>
            <w:vAlign w:val="center"/>
            <w:hideMark/>
          </w:tcPr>
          <w:p w14:paraId="5CDBDA5B"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xml:space="preserve">949 </w:t>
            </w:r>
          </w:p>
        </w:tc>
      </w:tr>
      <w:tr w:rsidR="00416C4D" w:rsidRPr="00416C4D" w14:paraId="34ECB4DE" w14:textId="77777777" w:rsidTr="00416C4D">
        <w:trPr>
          <w:trHeight w:val="255"/>
        </w:trPr>
        <w:tc>
          <w:tcPr>
            <w:tcW w:w="5402" w:type="dxa"/>
            <w:tcBorders>
              <w:top w:val="nil"/>
              <w:left w:val="nil"/>
              <w:bottom w:val="nil"/>
              <w:right w:val="nil"/>
            </w:tcBorders>
            <w:shd w:val="clear" w:color="000000" w:fill="FFFFFF"/>
            <w:vAlign w:val="bottom"/>
            <w:hideMark/>
          </w:tcPr>
          <w:p w14:paraId="450ACE15" w14:textId="77777777" w:rsidR="00416C4D" w:rsidRPr="003105FC" w:rsidRDefault="00416C4D" w:rsidP="00416C4D">
            <w:pPr>
              <w:spacing w:after="0"/>
              <w:jc w:val="both"/>
              <w:rPr>
                <w:rFonts w:ascii="Calibri" w:hAnsi="Calibri"/>
                <w:b/>
                <w:bCs/>
                <w:szCs w:val="18"/>
                <w:lang w:eastAsia="en-GB"/>
              </w:rPr>
            </w:pPr>
            <w:r w:rsidRPr="003105FC">
              <w:rPr>
                <w:rFonts w:ascii="Calibri" w:hAnsi="Calibri"/>
                <w:b/>
                <w:bCs/>
                <w:szCs w:val="18"/>
                <w:lang w:eastAsia="en-GB"/>
              </w:rPr>
              <w:t> </w:t>
            </w:r>
          </w:p>
        </w:tc>
        <w:tc>
          <w:tcPr>
            <w:tcW w:w="1276" w:type="dxa"/>
            <w:tcBorders>
              <w:top w:val="nil"/>
              <w:left w:val="nil"/>
              <w:bottom w:val="nil"/>
              <w:right w:val="nil"/>
            </w:tcBorders>
            <w:shd w:val="clear" w:color="000000" w:fill="FFFFFF"/>
            <w:vAlign w:val="bottom"/>
            <w:hideMark/>
          </w:tcPr>
          <w:p w14:paraId="4A90DC10"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c>
          <w:tcPr>
            <w:tcW w:w="283" w:type="dxa"/>
            <w:tcBorders>
              <w:top w:val="nil"/>
              <w:left w:val="nil"/>
              <w:bottom w:val="nil"/>
              <w:right w:val="nil"/>
            </w:tcBorders>
            <w:shd w:val="clear" w:color="000000" w:fill="FFFFFF"/>
            <w:noWrap/>
            <w:vAlign w:val="bottom"/>
            <w:hideMark/>
          </w:tcPr>
          <w:p w14:paraId="325722E3"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53E22678"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c>
          <w:tcPr>
            <w:tcW w:w="284" w:type="dxa"/>
            <w:tcBorders>
              <w:top w:val="nil"/>
              <w:left w:val="nil"/>
              <w:bottom w:val="nil"/>
              <w:right w:val="nil"/>
            </w:tcBorders>
            <w:shd w:val="clear" w:color="000000" w:fill="FFFFFF"/>
            <w:noWrap/>
            <w:vAlign w:val="bottom"/>
            <w:hideMark/>
          </w:tcPr>
          <w:p w14:paraId="25EAB8CA"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38BFE624"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r>
      <w:tr w:rsidR="00416C4D" w:rsidRPr="00416C4D" w14:paraId="41BDFDA5" w14:textId="77777777" w:rsidTr="00416C4D">
        <w:trPr>
          <w:trHeight w:val="240"/>
        </w:trPr>
        <w:tc>
          <w:tcPr>
            <w:tcW w:w="5402" w:type="dxa"/>
            <w:tcBorders>
              <w:top w:val="nil"/>
              <w:left w:val="nil"/>
              <w:bottom w:val="nil"/>
              <w:right w:val="nil"/>
            </w:tcBorders>
            <w:shd w:val="clear" w:color="000000" w:fill="FFFFFF"/>
            <w:vAlign w:val="bottom"/>
            <w:hideMark/>
          </w:tcPr>
          <w:p w14:paraId="77E36E8E" w14:textId="77777777" w:rsidR="00416C4D" w:rsidRPr="003105FC" w:rsidRDefault="00416C4D" w:rsidP="00416C4D">
            <w:pPr>
              <w:spacing w:after="0"/>
              <w:jc w:val="both"/>
              <w:rPr>
                <w:rFonts w:ascii="Calibri" w:hAnsi="Calibri"/>
                <w:b/>
                <w:bCs/>
                <w:szCs w:val="18"/>
                <w:lang w:eastAsia="en-GB"/>
              </w:rPr>
            </w:pPr>
            <w:r w:rsidRPr="003105FC">
              <w:rPr>
                <w:rFonts w:ascii="Calibri" w:hAnsi="Calibri"/>
                <w:b/>
                <w:bCs/>
                <w:szCs w:val="18"/>
                <w:lang w:eastAsia="en-GB"/>
              </w:rPr>
              <w:t>Net book value</w:t>
            </w:r>
          </w:p>
        </w:tc>
        <w:tc>
          <w:tcPr>
            <w:tcW w:w="1276" w:type="dxa"/>
            <w:tcBorders>
              <w:top w:val="nil"/>
              <w:left w:val="nil"/>
              <w:bottom w:val="nil"/>
              <w:right w:val="nil"/>
            </w:tcBorders>
            <w:shd w:val="clear" w:color="000000" w:fill="FFFFFF"/>
            <w:vAlign w:val="bottom"/>
            <w:hideMark/>
          </w:tcPr>
          <w:p w14:paraId="6B15297B"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w:t>
            </w:r>
          </w:p>
        </w:tc>
        <w:tc>
          <w:tcPr>
            <w:tcW w:w="283" w:type="dxa"/>
            <w:tcBorders>
              <w:top w:val="nil"/>
              <w:left w:val="nil"/>
              <w:bottom w:val="nil"/>
              <w:right w:val="nil"/>
            </w:tcBorders>
            <w:shd w:val="clear" w:color="000000" w:fill="FFFFFF"/>
            <w:noWrap/>
            <w:vAlign w:val="bottom"/>
            <w:hideMark/>
          </w:tcPr>
          <w:p w14:paraId="25E5431B"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992" w:type="dxa"/>
            <w:tcBorders>
              <w:top w:val="nil"/>
              <w:left w:val="nil"/>
              <w:bottom w:val="nil"/>
              <w:right w:val="nil"/>
            </w:tcBorders>
            <w:shd w:val="clear" w:color="000000" w:fill="FFFFFF"/>
            <w:vAlign w:val="bottom"/>
            <w:hideMark/>
          </w:tcPr>
          <w:p w14:paraId="674C1A2E" w14:textId="77777777" w:rsidR="00416C4D" w:rsidRPr="00416C4D" w:rsidRDefault="00416C4D" w:rsidP="00416C4D">
            <w:pPr>
              <w:spacing w:after="0"/>
              <w:jc w:val="right"/>
              <w:rPr>
                <w:rFonts w:ascii="Calibri" w:hAnsi="Calibri"/>
                <w:szCs w:val="18"/>
                <w:lang w:eastAsia="en-GB"/>
              </w:rPr>
            </w:pPr>
            <w:r w:rsidRPr="00416C4D">
              <w:rPr>
                <w:rFonts w:ascii="Calibri" w:hAnsi="Calibri"/>
                <w:szCs w:val="18"/>
                <w:lang w:eastAsia="en-GB"/>
              </w:rPr>
              <w:t> </w:t>
            </w:r>
          </w:p>
        </w:tc>
        <w:tc>
          <w:tcPr>
            <w:tcW w:w="284" w:type="dxa"/>
            <w:tcBorders>
              <w:top w:val="nil"/>
              <w:left w:val="nil"/>
              <w:bottom w:val="nil"/>
              <w:right w:val="nil"/>
            </w:tcBorders>
            <w:shd w:val="clear" w:color="000000" w:fill="FFFFFF"/>
            <w:noWrap/>
            <w:vAlign w:val="bottom"/>
            <w:hideMark/>
          </w:tcPr>
          <w:p w14:paraId="6D953977" w14:textId="77777777" w:rsidR="00416C4D" w:rsidRPr="00416C4D" w:rsidRDefault="00416C4D" w:rsidP="00416C4D">
            <w:pPr>
              <w:spacing w:after="0"/>
              <w:rPr>
                <w:rFonts w:ascii="Calibri" w:hAnsi="Calibri"/>
                <w:szCs w:val="18"/>
                <w:lang w:eastAsia="en-GB"/>
              </w:rPr>
            </w:pPr>
            <w:r w:rsidRPr="00416C4D">
              <w:rPr>
                <w:rFonts w:ascii="Calibri" w:hAnsi="Calibri"/>
                <w:szCs w:val="18"/>
                <w:lang w:eastAsia="en-GB"/>
              </w:rPr>
              <w:t> </w:t>
            </w:r>
          </w:p>
        </w:tc>
        <w:tc>
          <w:tcPr>
            <w:tcW w:w="1276" w:type="dxa"/>
            <w:tcBorders>
              <w:top w:val="nil"/>
              <w:left w:val="nil"/>
              <w:bottom w:val="nil"/>
              <w:right w:val="nil"/>
            </w:tcBorders>
            <w:shd w:val="clear" w:color="000000" w:fill="FFFFFF"/>
            <w:vAlign w:val="bottom"/>
            <w:hideMark/>
          </w:tcPr>
          <w:p w14:paraId="10CA7382" w14:textId="77777777" w:rsidR="00416C4D" w:rsidRPr="00416C4D" w:rsidRDefault="00416C4D" w:rsidP="00416C4D">
            <w:pPr>
              <w:spacing w:after="0"/>
              <w:jc w:val="right"/>
              <w:rPr>
                <w:rFonts w:ascii="Calibri" w:hAnsi="Calibri"/>
                <w:b/>
                <w:bCs/>
                <w:szCs w:val="18"/>
                <w:lang w:eastAsia="en-GB"/>
              </w:rPr>
            </w:pPr>
            <w:r w:rsidRPr="00416C4D">
              <w:rPr>
                <w:rFonts w:ascii="Calibri" w:hAnsi="Calibri"/>
                <w:b/>
                <w:bCs/>
                <w:szCs w:val="18"/>
                <w:lang w:eastAsia="en-GB"/>
              </w:rPr>
              <w:t> </w:t>
            </w:r>
          </w:p>
        </w:tc>
      </w:tr>
      <w:tr w:rsidR="00416C4D" w:rsidRPr="00AE0A86" w14:paraId="1FD57B06" w14:textId="77777777" w:rsidTr="00416C4D">
        <w:trPr>
          <w:trHeight w:val="240"/>
        </w:trPr>
        <w:tc>
          <w:tcPr>
            <w:tcW w:w="5402" w:type="dxa"/>
            <w:tcBorders>
              <w:top w:val="nil"/>
              <w:left w:val="nil"/>
              <w:bottom w:val="nil"/>
              <w:right w:val="nil"/>
            </w:tcBorders>
            <w:shd w:val="clear" w:color="000000" w:fill="FFFFFF"/>
            <w:vAlign w:val="bottom"/>
            <w:hideMark/>
          </w:tcPr>
          <w:p w14:paraId="30B87E5B" w14:textId="77777777" w:rsidR="009928C6" w:rsidRPr="003105FC" w:rsidRDefault="001F11DD">
            <w:pPr>
              <w:spacing w:after="0"/>
              <w:jc w:val="both"/>
              <w:rPr>
                <w:rFonts w:ascii="Calibri" w:hAnsi="Calibri"/>
                <w:bCs/>
                <w:szCs w:val="18"/>
                <w:lang w:eastAsia="en-GB"/>
              </w:rPr>
            </w:pPr>
            <w:r w:rsidRPr="001F11DD">
              <w:rPr>
                <w:rFonts w:ascii="Calibri" w:hAnsi="Calibri"/>
                <w:bCs/>
                <w:szCs w:val="18"/>
                <w:lang w:eastAsia="en-GB"/>
              </w:rPr>
              <w:t xml:space="preserve">At </w:t>
            </w:r>
            <w:r w:rsidRPr="001F11DD">
              <w:rPr>
                <w:rFonts w:ascii="Calibri" w:hAnsi="Calibri"/>
                <w:szCs w:val="18"/>
                <w:lang w:eastAsia="en-GB"/>
              </w:rPr>
              <w:t>31 December 2015</w:t>
            </w:r>
          </w:p>
        </w:tc>
        <w:tc>
          <w:tcPr>
            <w:tcW w:w="1276" w:type="dxa"/>
            <w:tcBorders>
              <w:top w:val="nil"/>
              <w:left w:val="nil"/>
              <w:bottom w:val="nil"/>
              <w:right w:val="nil"/>
            </w:tcBorders>
            <w:shd w:val="clear" w:color="000000" w:fill="FFFFFF"/>
            <w:vAlign w:val="center"/>
            <w:hideMark/>
          </w:tcPr>
          <w:p w14:paraId="30D4339D" w14:textId="77777777" w:rsidR="00416C4D" w:rsidRPr="00AE0A86" w:rsidRDefault="00490B6E" w:rsidP="00416C4D">
            <w:pPr>
              <w:spacing w:after="0"/>
              <w:jc w:val="right"/>
              <w:rPr>
                <w:rFonts w:ascii="Calibri" w:hAnsi="Calibri"/>
                <w:bCs/>
                <w:szCs w:val="18"/>
                <w:lang w:eastAsia="en-GB"/>
              </w:rPr>
            </w:pPr>
            <w:r w:rsidRPr="00490B6E">
              <w:rPr>
                <w:rFonts w:ascii="Calibri" w:hAnsi="Calibri"/>
                <w:bCs/>
                <w:szCs w:val="18"/>
                <w:lang w:eastAsia="en-GB"/>
              </w:rPr>
              <w:t xml:space="preserve">416 </w:t>
            </w:r>
          </w:p>
        </w:tc>
        <w:tc>
          <w:tcPr>
            <w:tcW w:w="283" w:type="dxa"/>
            <w:tcBorders>
              <w:top w:val="nil"/>
              <w:left w:val="nil"/>
              <w:bottom w:val="nil"/>
              <w:right w:val="nil"/>
            </w:tcBorders>
            <w:shd w:val="clear" w:color="000000" w:fill="FFFFFF"/>
            <w:noWrap/>
            <w:vAlign w:val="bottom"/>
            <w:hideMark/>
          </w:tcPr>
          <w:p w14:paraId="57CCDD9C" w14:textId="77777777" w:rsidR="00416C4D" w:rsidRPr="00AE0A86" w:rsidRDefault="00490B6E" w:rsidP="00416C4D">
            <w:pPr>
              <w:spacing w:after="0"/>
              <w:rPr>
                <w:rFonts w:ascii="Calibri" w:hAnsi="Calibri"/>
                <w:szCs w:val="18"/>
                <w:lang w:eastAsia="en-GB"/>
              </w:rPr>
            </w:pPr>
            <w:r>
              <w:rPr>
                <w:rFonts w:ascii="Calibri" w:hAnsi="Calibri"/>
                <w:szCs w:val="18"/>
                <w:lang w:eastAsia="en-GB"/>
              </w:rPr>
              <w:t> </w:t>
            </w:r>
          </w:p>
        </w:tc>
        <w:tc>
          <w:tcPr>
            <w:tcW w:w="992" w:type="dxa"/>
            <w:tcBorders>
              <w:top w:val="nil"/>
              <w:left w:val="nil"/>
              <w:bottom w:val="nil"/>
              <w:right w:val="nil"/>
            </w:tcBorders>
            <w:shd w:val="clear" w:color="000000" w:fill="FFFFFF"/>
            <w:vAlign w:val="center"/>
            <w:hideMark/>
          </w:tcPr>
          <w:p w14:paraId="695E7FC3" w14:textId="77777777" w:rsidR="00416C4D" w:rsidRPr="00AE0A86" w:rsidRDefault="00490B6E" w:rsidP="00416C4D">
            <w:pPr>
              <w:spacing w:after="0"/>
              <w:jc w:val="right"/>
              <w:rPr>
                <w:rFonts w:ascii="Calibri" w:hAnsi="Calibri"/>
                <w:bCs/>
                <w:szCs w:val="18"/>
                <w:lang w:eastAsia="en-GB"/>
              </w:rPr>
            </w:pPr>
            <w:r w:rsidRPr="00490B6E">
              <w:rPr>
                <w:rFonts w:ascii="Calibri" w:hAnsi="Calibri"/>
                <w:bCs/>
                <w:szCs w:val="18"/>
                <w:lang w:eastAsia="en-GB"/>
              </w:rPr>
              <w:t xml:space="preserve">- </w:t>
            </w:r>
          </w:p>
        </w:tc>
        <w:tc>
          <w:tcPr>
            <w:tcW w:w="284" w:type="dxa"/>
            <w:tcBorders>
              <w:top w:val="nil"/>
              <w:left w:val="nil"/>
              <w:bottom w:val="nil"/>
              <w:right w:val="nil"/>
            </w:tcBorders>
            <w:shd w:val="clear" w:color="000000" w:fill="FFFFFF"/>
            <w:noWrap/>
            <w:vAlign w:val="bottom"/>
            <w:hideMark/>
          </w:tcPr>
          <w:p w14:paraId="695850BA" w14:textId="77777777" w:rsidR="00416C4D" w:rsidRPr="00AE0A86" w:rsidRDefault="00490B6E" w:rsidP="00416C4D">
            <w:pPr>
              <w:spacing w:after="0"/>
              <w:rPr>
                <w:rFonts w:ascii="Calibri" w:hAnsi="Calibri"/>
                <w:szCs w:val="18"/>
                <w:lang w:eastAsia="en-GB"/>
              </w:rPr>
            </w:pPr>
            <w:r>
              <w:rPr>
                <w:rFonts w:ascii="Calibri" w:hAnsi="Calibri"/>
                <w:szCs w:val="18"/>
                <w:lang w:eastAsia="en-GB"/>
              </w:rPr>
              <w:t> </w:t>
            </w:r>
          </w:p>
        </w:tc>
        <w:tc>
          <w:tcPr>
            <w:tcW w:w="1276" w:type="dxa"/>
            <w:tcBorders>
              <w:top w:val="nil"/>
              <w:left w:val="nil"/>
              <w:bottom w:val="nil"/>
              <w:right w:val="nil"/>
            </w:tcBorders>
            <w:shd w:val="clear" w:color="000000" w:fill="FFFFFF"/>
            <w:vAlign w:val="center"/>
            <w:hideMark/>
          </w:tcPr>
          <w:p w14:paraId="7C1DD731" w14:textId="77777777" w:rsidR="00416C4D" w:rsidRPr="00AE0A86" w:rsidRDefault="00490B6E" w:rsidP="00416C4D">
            <w:pPr>
              <w:spacing w:after="0"/>
              <w:jc w:val="right"/>
              <w:rPr>
                <w:rFonts w:ascii="Calibri" w:hAnsi="Calibri"/>
                <w:bCs/>
                <w:szCs w:val="18"/>
                <w:lang w:eastAsia="en-GB"/>
              </w:rPr>
            </w:pPr>
            <w:r w:rsidRPr="00490B6E">
              <w:rPr>
                <w:rFonts w:ascii="Calibri" w:hAnsi="Calibri"/>
                <w:bCs/>
                <w:szCs w:val="18"/>
                <w:lang w:eastAsia="en-GB"/>
              </w:rPr>
              <w:t xml:space="preserve">416 </w:t>
            </w:r>
          </w:p>
        </w:tc>
      </w:tr>
      <w:tr w:rsidR="00416C4D" w:rsidRPr="00AE0A86" w14:paraId="5426B291" w14:textId="77777777" w:rsidTr="00416C4D">
        <w:trPr>
          <w:trHeight w:val="255"/>
        </w:trPr>
        <w:tc>
          <w:tcPr>
            <w:tcW w:w="5402" w:type="dxa"/>
            <w:tcBorders>
              <w:top w:val="nil"/>
              <w:left w:val="nil"/>
              <w:bottom w:val="nil"/>
              <w:right w:val="nil"/>
            </w:tcBorders>
            <w:shd w:val="clear" w:color="000000" w:fill="FFFFFF"/>
            <w:vAlign w:val="bottom"/>
            <w:hideMark/>
          </w:tcPr>
          <w:p w14:paraId="5BDD5159" w14:textId="77777777" w:rsidR="009928C6" w:rsidRDefault="00490B6E">
            <w:pPr>
              <w:spacing w:after="0"/>
              <w:jc w:val="both"/>
              <w:rPr>
                <w:rFonts w:ascii="Calibri" w:hAnsi="Calibri"/>
                <w:b/>
                <w:szCs w:val="18"/>
                <w:lang w:eastAsia="en-GB"/>
              </w:rPr>
            </w:pPr>
            <w:r w:rsidRPr="00490B6E">
              <w:rPr>
                <w:rFonts w:ascii="Calibri" w:hAnsi="Calibri"/>
                <w:b/>
                <w:szCs w:val="18"/>
                <w:lang w:eastAsia="en-GB"/>
              </w:rPr>
              <w:t xml:space="preserve">At </w:t>
            </w:r>
            <w:r>
              <w:rPr>
                <w:rFonts w:ascii="Calibri" w:hAnsi="Calibri"/>
                <w:b/>
                <w:bCs/>
                <w:szCs w:val="18"/>
                <w:lang w:eastAsia="en-GB"/>
              </w:rPr>
              <w:t xml:space="preserve">30 June 2016 </w:t>
            </w:r>
          </w:p>
        </w:tc>
        <w:tc>
          <w:tcPr>
            <w:tcW w:w="1276" w:type="dxa"/>
            <w:tcBorders>
              <w:top w:val="single" w:sz="4" w:space="0" w:color="auto"/>
              <w:left w:val="nil"/>
              <w:bottom w:val="double" w:sz="6" w:space="0" w:color="auto"/>
              <w:right w:val="nil"/>
            </w:tcBorders>
            <w:shd w:val="clear" w:color="000000" w:fill="FFFFFF"/>
            <w:vAlign w:val="center"/>
            <w:hideMark/>
          </w:tcPr>
          <w:p w14:paraId="548697B3" w14:textId="77777777" w:rsidR="009928C6" w:rsidRDefault="00490B6E">
            <w:pPr>
              <w:spacing w:after="0"/>
              <w:jc w:val="right"/>
              <w:rPr>
                <w:rFonts w:ascii="Calibri" w:hAnsi="Calibri"/>
                <w:b/>
                <w:szCs w:val="18"/>
                <w:lang w:eastAsia="en-GB"/>
              </w:rPr>
            </w:pPr>
            <w:r w:rsidRPr="00490B6E">
              <w:rPr>
                <w:rFonts w:ascii="Calibri" w:hAnsi="Calibri"/>
                <w:b/>
                <w:szCs w:val="18"/>
                <w:lang w:eastAsia="en-GB"/>
              </w:rPr>
              <w:t xml:space="preserve">427 </w:t>
            </w:r>
          </w:p>
        </w:tc>
        <w:tc>
          <w:tcPr>
            <w:tcW w:w="283" w:type="dxa"/>
            <w:tcBorders>
              <w:top w:val="nil"/>
              <w:left w:val="nil"/>
              <w:bottom w:val="nil"/>
              <w:right w:val="nil"/>
            </w:tcBorders>
            <w:shd w:val="clear" w:color="000000" w:fill="FFFFFF"/>
            <w:noWrap/>
            <w:vAlign w:val="bottom"/>
            <w:hideMark/>
          </w:tcPr>
          <w:p w14:paraId="4A769C19" w14:textId="77777777" w:rsidR="00416C4D" w:rsidRPr="00AE0A86" w:rsidRDefault="00490B6E" w:rsidP="00416C4D">
            <w:pPr>
              <w:spacing w:after="0"/>
              <w:rPr>
                <w:rFonts w:ascii="Calibri" w:hAnsi="Calibri"/>
                <w:b/>
                <w:szCs w:val="18"/>
                <w:lang w:eastAsia="en-GB"/>
              </w:rPr>
            </w:pPr>
            <w:r w:rsidRPr="00490B6E">
              <w:rPr>
                <w:rFonts w:ascii="Calibri" w:hAnsi="Calibri"/>
                <w:b/>
                <w:szCs w:val="18"/>
                <w:lang w:eastAsia="en-GB"/>
              </w:rPr>
              <w:t> </w:t>
            </w:r>
          </w:p>
        </w:tc>
        <w:tc>
          <w:tcPr>
            <w:tcW w:w="992" w:type="dxa"/>
            <w:tcBorders>
              <w:top w:val="single" w:sz="4" w:space="0" w:color="auto"/>
              <w:left w:val="nil"/>
              <w:bottom w:val="double" w:sz="6" w:space="0" w:color="auto"/>
              <w:right w:val="nil"/>
            </w:tcBorders>
            <w:shd w:val="clear" w:color="000000" w:fill="FFFFFF"/>
            <w:vAlign w:val="center"/>
            <w:hideMark/>
          </w:tcPr>
          <w:p w14:paraId="434F3E67" w14:textId="77777777" w:rsidR="00416C4D" w:rsidRPr="00AE0A86" w:rsidRDefault="00490B6E" w:rsidP="00416C4D">
            <w:pPr>
              <w:spacing w:after="0"/>
              <w:jc w:val="right"/>
              <w:rPr>
                <w:rFonts w:ascii="Calibri" w:hAnsi="Calibri"/>
                <w:b/>
                <w:szCs w:val="18"/>
                <w:lang w:eastAsia="en-GB"/>
              </w:rPr>
            </w:pPr>
            <w:r w:rsidRPr="00490B6E">
              <w:rPr>
                <w:rFonts w:ascii="Calibri" w:hAnsi="Calibri"/>
                <w:b/>
                <w:szCs w:val="18"/>
                <w:lang w:eastAsia="en-GB"/>
              </w:rPr>
              <w:t xml:space="preserve">1,598  </w:t>
            </w:r>
          </w:p>
        </w:tc>
        <w:tc>
          <w:tcPr>
            <w:tcW w:w="284" w:type="dxa"/>
            <w:tcBorders>
              <w:top w:val="nil"/>
              <w:left w:val="nil"/>
              <w:bottom w:val="nil"/>
              <w:right w:val="nil"/>
            </w:tcBorders>
            <w:shd w:val="clear" w:color="000000" w:fill="FFFFFF"/>
            <w:noWrap/>
            <w:vAlign w:val="bottom"/>
            <w:hideMark/>
          </w:tcPr>
          <w:p w14:paraId="5219CEA8" w14:textId="77777777" w:rsidR="00416C4D" w:rsidRPr="00AE0A86" w:rsidRDefault="00490B6E" w:rsidP="00416C4D">
            <w:pPr>
              <w:spacing w:after="0"/>
              <w:rPr>
                <w:rFonts w:ascii="Calibri" w:hAnsi="Calibri"/>
                <w:b/>
                <w:szCs w:val="18"/>
                <w:lang w:eastAsia="en-GB"/>
              </w:rPr>
            </w:pPr>
            <w:r w:rsidRPr="00490B6E">
              <w:rPr>
                <w:rFonts w:ascii="Calibri" w:hAnsi="Calibri"/>
                <w:b/>
                <w:szCs w:val="18"/>
                <w:lang w:eastAsia="en-GB"/>
              </w:rPr>
              <w:t> </w:t>
            </w:r>
          </w:p>
        </w:tc>
        <w:tc>
          <w:tcPr>
            <w:tcW w:w="1276" w:type="dxa"/>
            <w:tcBorders>
              <w:top w:val="single" w:sz="4" w:space="0" w:color="auto"/>
              <w:left w:val="nil"/>
              <w:bottom w:val="double" w:sz="6" w:space="0" w:color="auto"/>
              <w:right w:val="nil"/>
            </w:tcBorders>
            <w:shd w:val="clear" w:color="000000" w:fill="FFFFFF"/>
            <w:vAlign w:val="center"/>
            <w:hideMark/>
          </w:tcPr>
          <w:p w14:paraId="4319E9AF" w14:textId="77777777" w:rsidR="00416C4D" w:rsidRPr="00AE0A86" w:rsidRDefault="00490B6E" w:rsidP="00416C4D">
            <w:pPr>
              <w:spacing w:after="0"/>
              <w:jc w:val="right"/>
              <w:rPr>
                <w:rFonts w:ascii="Calibri" w:hAnsi="Calibri"/>
                <w:b/>
                <w:bCs/>
                <w:szCs w:val="18"/>
                <w:lang w:eastAsia="en-GB"/>
              </w:rPr>
            </w:pPr>
            <w:r>
              <w:rPr>
                <w:rFonts w:ascii="Calibri" w:hAnsi="Calibri"/>
                <w:b/>
                <w:bCs/>
                <w:szCs w:val="18"/>
                <w:lang w:eastAsia="en-GB"/>
              </w:rPr>
              <w:t xml:space="preserve">2.025 </w:t>
            </w:r>
          </w:p>
        </w:tc>
      </w:tr>
    </w:tbl>
    <w:p w14:paraId="6B9D5644" w14:textId="77777777" w:rsidR="00F1385E" w:rsidRDefault="00F1385E" w:rsidP="00784641">
      <w:pPr>
        <w:jc w:val="both"/>
        <w:rPr>
          <w:rFonts w:ascii="Calibri" w:hAnsi="Calibri"/>
          <w:szCs w:val="18"/>
        </w:rPr>
      </w:pPr>
    </w:p>
    <w:p w14:paraId="0E0356A2" w14:textId="77777777" w:rsidR="001F11DD" w:rsidRDefault="002E5130" w:rsidP="001F11DD">
      <w:pPr>
        <w:pStyle w:val="Heading2"/>
        <w:tabs>
          <w:tab w:val="clear" w:pos="567"/>
          <w:tab w:val="left" w:pos="709"/>
        </w:tabs>
        <w:rPr>
          <w:rFonts w:ascii="Calibri" w:hAnsi="Calibri"/>
          <w:noProof/>
          <w:color w:val="000000"/>
          <w:sz w:val="18"/>
          <w:szCs w:val="18"/>
        </w:rPr>
      </w:pPr>
      <w:bookmarkStart w:id="7" w:name="_Toc275209499"/>
      <w:r>
        <w:rPr>
          <w:rFonts w:ascii="Calibri" w:hAnsi="Calibri"/>
          <w:noProof/>
          <w:color w:val="000000"/>
          <w:sz w:val="18"/>
          <w:szCs w:val="18"/>
        </w:rPr>
        <w:t>8</w:t>
      </w:r>
      <w:r w:rsidR="004B015C">
        <w:rPr>
          <w:rFonts w:ascii="Calibri" w:hAnsi="Calibri"/>
          <w:noProof/>
          <w:color w:val="000000"/>
          <w:sz w:val="18"/>
          <w:szCs w:val="18"/>
        </w:rPr>
        <w:t>.</w:t>
      </w:r>
      <w:r w:rsidR="004B015C">
        <w:rPr>
          <w:rFonts w:ascii="Calibri" w:hAnsi="Calibri"/>
          <w:noProof/>
          <w:color w:val="000000"/>
          <w:sz w:val="18"/>
          <w:szCs w:val="18"/>
        </w:rPr>
        <w:tab/>
      </w:r>
      <w:bookmarkEnd w:id="7"/>
      <w:r>
        <w:rPr>
          <w:rFonts w:ascii="Calibri" w:hAnsi="Calibri"/>
          <w:noProof/>
          <w:color w:val="000000"/>
          <w:sz w:val="18"/>
          <w:szCs w:val="18"/>
        </w:rPr>
        <w:t>Disposal of investment in Audioboom Group plc</w:t>
      </w:r>
    </w:p>
    <w:p w14:paraId="311F35EE" w14:textId="77777777" w:rsidR="002E5130" w:rsidRPr="00F1385E" w:rsidRDefault="002E5130" w:rsidP="002E5130">
      <w:pPr>
        <w:spacing w:after="0"/>
        <w:jc w:val="both"/>
        <w:rPr>
          <w:rFonts w:ascii="Calibri" w:hAnsi="Calibri"/>
          <w:szCs w:val="18"/>
        </w:rPr>
      </w:pPr>
      <w:r>
        <w:rPr>
          <w:rFonts w:ascii="Calibri" w:hAnsi="Calibri"/>
          <w:szCs w:val="18"/>
        </w:rPr>
        <w:t>On 7 September 2015 the Group disposed of the whole of its interest in Audioboom Group plc, an AIM listed company,</w:t>
      </w:r>
      <w:r w:rsidRPr="00FF30F5">
        <w:rPr>
          <w:rFonts w:ascii="Calibri" w:hAnsi="Calibri"/>
          <w:szCs w:val="18"/>
        </w:rPr>
        <w:t xml:space="preserve"> </w:t>
      </w:r>
      <w:r>
        <w:rPr>
          <w:rFonts w:ascii="Calibri" w:hAnsi="Calibri"/>
          <w:szCs w:val="18"/>
        </w:rPr>
        <w:t>raising cash proceeds of approximately £1.87 million. The interest in Audioboom was originally acquired as part of the reverse acquisition of UBC Media Group plc in June 2014.</w:t>
      </w:r>
    </w:p>
    <w:p w14:paraId="26AFC382" w14:textId="77777777" w:rsidR="00416C4D" w:rsidRDefault="00416C4D" w:rsidP="00784641">
      <w:pPr>
        <w:autoSpaceDE w:val="0"/>
        <w:autoSpaceDN w:val="0"/>
        <w:adjustRightInd w:val="0"/>
        <w:spacing w:after="0"/>
        <w:rPr>
          <w:rFonts w:ascii="Calibri" w:hAnsi="Calibri" w:cs="Helvetica"/>
          <w:color w:val="000000"/>
          <w:szCs w:val="18"/>
        </w:rPr>
      </w:pPr>
    </w:p>
    <w:p w14:paraId="3FEC1AC2" w14:textId="77777777" w:rsidR="002E5130" w:rsidRDefault="002E5130" w:rsidP="00784641">
      <w:pPr>
        <w:autoSpaceDE w:val="0"/>
        <w:autoSpaceDN w:val="0"/>
        <w:adjustRightInd w:val="0"/>
        <w:spacing w:after="0"/>
        <w:rPr>
          <w:rFonts w:ascii="Calibri" w:hAnsi="Calibri" w:cs="Helvetica"/>
          <w:b/>
          <w:color w:val="000000"/>
          <w:szCs w:val="18"/>
        </w:rPr>
      </w:pPr>
    </w:p>
    <w:p w14:paraId="5FCB57B8" w14:textId="2DC8C1E5" w:rsidR="00784641" w:rsidRPr="000C331C" w:rsidRDefault="00675858" w:rsidP="00784641">
      <w:pPr>
        <w:autoSpaceDE w:val="0"/>
        <w:autoSpaceDN w:val="0"/>
        <w:adjustRightInd w:val="0"/>
        <w:spacing w:after="0"/>
        <w:rPr>
          <w:rFonts w:ascii="Calibri" w:hAnsi="Calibri" w:cs="Helvetica"/>
          <w:b/>
          <w:color w:val="000000"/>
          <w:szCs w:val="18"/>
        </w:rPr>
      </w:pPr>
      <w:r>
        <w:rPr>
          <w:rFonts w:ascii="Calibri" w:hAnsi="Calibri" w:cs="Helvetica"/>
          <w:b/>
          <w:color w:val="000000"/>
          <w:szCs w:val="18"/>
        </w:rPr>
        <w:t>9</w:t>
      </w:r>
      <w:r w:rsidR="004B015C">
        <w:rPr>
          <w:rFonts w:ascii="Calibri" w:hAnsi="Calibri" w:cs="Helvetica"/>
          <w:b/>
          <w:color w:val="000000"/>
          <w:szCs w:val="18"/>
        </w:rPr>
        <w:t xml:space="preserve">. </w:t>
      </w:r>
      <w:r w:rsidR="004B015C">
        <w:rPr>
          <w:rFonts w:ascii="Calibri" w:hAnsi="Calibri" w:cs="Helvetica"/>
          <w:b/>
          <w:color w:val="000000"/>
          <w:szCs w:val="18"/>
        </w:rPr>
        <w:tab/>
        <w:t>Post balance sheet event</w:t>
      </w:r>
    </w:p>
    <w:p w14:paraId="16F1267B" w14:textId="77777777" w:rsidR="00784641" w:rsidRPr="000C331C" w:rsidRDefault="00784641" w:rsidP="00784641">
      <w:pPr>
        <w:autoSpaceDE w:val="0"/>
        <w:autoSpaceDN w:val="0"/>
        <w:adjustRightInd w:val="0"/>
        <w:spacing w:after="0"/>
        <w:rPr>
          <w:rFonts w:ascii="Calibri" w:hAnsi="Calibri" w:cs="Helvetica"/>
          <w:color w:val="000000"/>
          <w:szCs w:val="18"/>
        </w:rPr>
      </w:pPr>
    </w:p>
    <w:p w14:paraId="3C5E0118" w14:textId="77777777" w:rsidR="000C331C" w:rsidRDefault="00DE74D8" w:rsidP="00784641">
      <w:pPr>
        <w:autoSpaceDE w:val="0"/>
        <w:autoSpaceDN w:val="0"/>
        <w:adjustRightInd w:val="0"/>
        <w:spacing w:after="0"/>
        <w:rPr>
          <w:rFonts w:ascii="Calibri" w:hAnsi="Calibri"/>
          <w:szCs w:val="18"/>
        </w:rPr>
      </w:pPr>
      <w:r>
        <w:rPr>
          <w:rFonts w:ascii="Calibri" w:hAnsi="Calibri"/>
          <w:szCs w:val="18"/>
        </w:rPr>
        <w:t xml:space="preserve">On 07 July 2016 the Group received approval from the High Court for a </w:t>
      </w:r>
      <w:r w:rsidR="002E5130">
        <w:rPr>
          <w:rFonts w:ascii="Calibri" w:hAnsi="Calibri"/>
          <w:szCs w:val="18"/>
        </w:rPr>
        <w:t>c</w:t>
      </w:r>
      <w:r>
        <w:rPr>
          <w:rFonts w:ascii="Calibri" w:hAnsi="Calibri"/>
          <w:szCs w:val="18"/>
        </w:rPr>
        <w:t xml:space="preserve">apital </w:t>
      </w:r>
      <w:r w:rsidR="002E5130">
        <w:rPr>
          <w:rFonts w:ascii="Calibri" w:hAnsi="Calibri"/>
          <w:szCs w:val="18"/>
        </w:rPr>
        <w:t>reduction that</w:t>
      </w:r>
      <w:r>
        <w:rPr>
          <w:rFonts w:ascii="Calibri" w:hAnsi="Calibri"/>
          <w:szCs w:val="18"/>
        </w:rPr>
        <w:t xml:space="preserve"> has resulted in the cancellation of the share premium account. Following the capital reduction, the </w:t>
      </w:r>
      <w:r w:rsidR="002E5130">
        <w:rPr>
          <w:rFonts w:ascii="Calibri" w:hAnsi="Calibri"/>
          <w:szCs w:val="18"/>
        </w:rPr>
        <w:t>e</w:t>
      </w:r>
      <w:r>
        <w:rPr>
          <w:rFonts w:ascii="Calibri" w:hAnsi="Calibri"/>
          <w:szCs w:val="18"/>
        </w:rPr>
        <w:t xml:space="preserve">quity of the Group </w:t>
      </w:r>
      <w:r w:rsidR="00490B6E" w:rsidRPr="00490B6E">
        <w:rPr>
          <w:rFonts w:ascii="Calibri" w:hAnsi="Calibri"/>
          <w:szCs w:val="18"/>
        </w:rPr>
        <w:t xml:space="preserve">and Parent </w:t>
      </w:r>
      <w:r w:rsidR="002E5130">
        <w:rPr>
          <w:rFonts w:ascii="Calibri" w:hAnsi="Calibri"/>
          <w:szCs w:val="18"/>
        </w:rPr>
        <w:t>is</w:t>
      </w:r>
      <w:r>
        <w:rPr>
          <w:rFonts w:ascii="Calibri" w:hAnsi="Calibri"/>
          <w:szCs w:val="18"/>
        </w:rPr>
        <w:t>:</w:t>
      </w:r>
    </w:p>
    <w:p w14:paraId="7D5CC956" w14:textId="77777777" w:rsidR="00451645" w:rsidRPr="00AE6AC8" w:rsidRDefault="00451645" w:rsidP="00784641">
      <w:pPr>
        <w:autoSpaceDE w:val="0"/>
        <w:autoSpaceDN w:val="0"/>
        <w:adjustRightInd w:val="0"/>
        <w:spacing w:after="0"/>
        <w:rPr>
          <w:rFonts w:ascii="Calibri" w:hAnsi="Calibri"/>
          <w:szCs w:val="18"/>
        </w:rPr>
      </w:pPr>
    </w:p>
    <w:tbl>
      <w:tblPr>
        <w:tblW w:w="9498" w:type="dxa"/>
        <w:tblInd w:w="108" w:type="dxa"/>
        <w:tblLook w:val="04A0" w:firstRow="1" w:lastRow="0" w:firstColumn="1" w:lastColumn="0" w:noHBand="0" w:noVBand="1"/>
      </w:tblPr>
      <w:tblGrid>
        <w:gridCol w:w="6237"/>
        <w:gridCol w:w="1560"/>
        <w:gridCol w:w="283"/>
        <w:gridCol w:w="1418"/>
      </w:tblGrid>
      <w:tr w:rsidR="00AE6AC8" w:rsidRPr="00AE6AC8" w14:paraId="703445F6" w14:textId="77777777" w:rsidTr="00AE6AC8">
        <w:trPr>
          <w:trHeight w:val="255"/>
        </w:trPr>
        <w:tc>
          <w:tcPr>
            <w:tcW w:w="6237" w:type="dxa"/>
            <w:tcBorders>
              <w:top w:val="nil"/>
              <w:left w:val="nil"/>
              <w:bottom w:val="nil"/>
              <w:right w:val="nil"/>
            </w:tcBorders>
            <w:shd w:val="clear" w:color="000000" w:fill="FFFFFF"/>
            <w:noWrap/>
            <w:vAlign w:val="bottom"/>
            <w:hideMark/>
          </w:tcPr>
          <w:p w14:paraId="6BA4DD5A"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560" w:type="dxa"/>
            <w:tcBorders>
              <w:top w:val="nil"/>
              <w:left w:val="nil"/>
              <w:bottom w:val="nil"/>
              <w:right w:val="nil"/>
            </w:tcBorders>
            <w:shd w:val="clear" w:color="000000" w:fill="FFFFFF"/>
            <w:noWrap/>
            <w:vAlign w:val="center"/>
            <w:hideMark/>
          </w:tcPr>
          <w:p w14:paraId="2ECCC24D" w14:textId="77777777" w:rsidR="00AE6AC8" w:rsidRDefault="00AE6AC8" w:rsidP="00AE6AC8">
            <w:pPr>
              <w:spacing w:after="0"/>
              <w:jc w:val="right"/>
              <w:rPr>
                <w:rFonts w:ascii="Calibri" w:hAnsi="Calibri" w:cs="Arial"/>
                <w:szCs w:val="18"/>
                <w:lang w:eastAsia="en-GB"/>
              </w:rPr>
            </w:pPr>
            <w:r w:rsidRPr="00AE6AC8">
              <w:rPr>
                <w:rFonts w:ascii="Calibri" w:hAnsi="Calibri" w:cs="Arial"/>
                <w:szCs w:val="18"/>
                <w:lang w:eastAsia="en-GB"/>
              </w:rPr>
              <w:t>Group</w:t>
            </w:r>
          </w:p>
          <w:p w14:paraId="0046E083" w14:textId="77777777" w:rsidR="002E5130" w:rsidRPr="00AE6AC8" w:rsidRDefault="002E5130" w:rsidP="00AE6AC8">
            <w:pPr>
              <w:spacing w:after="0"/>
              <w:jc w:val="right"/>
              <w:rPr>
                <w:rFonts w:ascii="Calibri" w:hAnsi="Calibri" w:cs="Arial"/>
                <w:szCs w:val="18"/>
                <w:lang w:eastAsia="en-GB"/>
              </w:rPr>
            </w:pPr>
            <w:r>
              <w:rPr>
                <w:rFonts w:ascii="Calibri" w:hAnsi="Calibri" w:cs="Arial"/>
                <w:szCs w:val="18"/>
                <w:lang w:eastAsia="en-GB"/>
              </w:rPr>
              <w:t>(Consolidated)</w:t>
            </w:r>
          </w:p>
        </w:tc>
        <w:tc>
          <w:tcPr>
            <w:tcW w:w="283" w:type="dxa"/>
            <w:tcBorders>
              <w:top w:val="nil"/>
              <w:left w:val="nil"/>
              <w:bottom w:val="nil"/>
              <w:right w:val="nil"/>
            </w:tcBorders>
            <w:shd w:val="clear" w:color="000000" w:fill="FFFFFF"/>
            <w:noWrap/>
            <w:vAlign w:val="center"/>
            <w:hideMark/>
          </w:tcPr>
          <w:p w14:paraId="3A1FC194" w14:textId="77777777" w:rsidR="00AE6AC8" w:rsidRPr="00AE6AC8" w:rsidRDefault="00AE6AC8" w:rsidP="00AE6AC8">
            <w:pPr>
              <w:spacing w:after="0"/>
              <w:rPr>
                <w:rFonts w:ascii="Calibri" w:hAnsi="Calibri" w:cs="Arial"/>
                <w:szCs w:val="18"/>
                <w:lang w:eastAsia="en-GB"/>
              </w:rPr>
            </w:pPr>
            <w:r w:rsidRPr="00AE6AC8">
              <w:rPr>
                <w:rFonts w:ascii="Calibri" w:hAnsi="Calibri" w:cs="Arial"/>
                <w:szCs w:val="18"/>
                <w:lang w:eastAsia="en-GB"/>
              </w:rPr>
              <w:t> </w:t>
            </w:r>
          </w:p>
        </w:tc>
        <w:tc>
          <w:tcPr>
            <w:tcW w:w="1418" w:type="dxa"/>
            <w:tcBorders>
              <w:top w:val="nil"/>
              <w:left w:val="nil"/>
              <w:bottom w:val="nil"/>
              <w:right w:val="nil"/>
            </w:tcBorders>
            <w:shd w:val="clear" w:color="000000" w:fill="FFFFFF"/>
            <w:noWrap/>
            <w:vAlign w:val="center"/>
            <w:hideMark/>
          </w:tcPr>
          <w:p w14:paraId="6F522940" w14:textId="77777777" w:rsidR="00AE6AC8" w:rsidRDefault="00AE6AC8" w:rsidP="00AE6AC8">
            <w:pPr>
              <w:spacing w:after="0"/>
              <w:jc w:val="right"/>
              <w:rPr>
                <w:rFonts w:ascii="Calibri" w:hAnsi="Calibri" w:cs="Arial"/>
                <w:szCs w:val="18"/>
                <w:lang w:eastAsia="en-GB"/>
              </w:rPr>
            </w:pPr>
            <w:r w:rsidRPr="00AE6AC8">
              <w:rPr>
                <w:rFonts w:ascii="Calibri" w:hAnsi="Calibri" w:cs="Arial"/>
                <w:szCs w:val="18"/>
                <w:lang w:eastAsia="en-GB"/>
              </w:rPr>
              <w:t>Parent</w:t>
            </w:r>
          </w:p>
          <w:p w14:paraId="3E056659" w14:textId="77777777" w:rsidR="002E5130" w:rsidRPr="00AE6AC8" w:rsidRDefault="002E5130" w:rsidP="00AE6AC8">
            <w:pPr>
              <w:spacing w:after="0"/>
              <w:jc w:val="right"/>
              <w:rPr>
                <w:rFonts w:ascii="Calibri" w:hAnsi="Calibri" w:cs="Arial"/>
                <w:szCs w:val="18"/>
                <w:lang w:eastAsia="en-GB"/>
              </w:rPr>
            </w:pPr>
            <w:r>
              <w:rPr>
                <w:rFonts w:ascii="Calibri" w:hAnsi="Calibri" w:cs="Arial"/>
                <w:szCs w:val="18"/>
                <w:lang w:eastAsia="en-GB"/>
              </w:rPr>
              <w:t>(Entity)</w:t>
            </w:r>
          </w:p>
        </w:tc>
      </w:tr>
      <w:tr w:rsidR="00AE6AC8" w:rsidRPr="00AE6AC8" w14:paraId="796DA27C" w14:textId="77777777" w:rsidTr="00AE6AC8">
        <w:trPr>
          <w:trHeight w:val="255"/>
        </w:trPr>
        <w:tc>
          <w:tcPr>
            <w:tcW w:w="6237" w:type="dxa"/>
            <w:tcBorders>
              <w:top w:val="nil"/>
              <w:left w:val="nil"/>
              <w:bottom w:val="nil"/>
              <w:right w:val="nil"/>
            </w:tcBorders>
            <w:shd w:val="clear" w:color="000000" w:fill="FFFFFF"/>
            <w:noWrap/>
            <w:vAlign w:val="center"/>
            <w:hideMark/>
          </w:tcPr>
          <w:p w14:paraId="206CE235" w14:textId="77777777" w:rsidR="009928C6" w:rsidRDefault="00AE6AC8">
            <w:pPr>
              <w:spacing w:after="0"/>
              <w:ind w:left="-108"/>
              <w:rPr>
                <w:rFonts w:ascii="Calibri" w:hAnsi="Calibri" w:cs="Arial"/>
                <w:b/>
                <w:bCs/>
                <w:szCs w:val="18"/>
                <w:lang w:eastAsia="en-GB"/>
              </w:rPr>
            </w:pPr>
            <w:r w:rsidRPr="00AE6AC8">
              <w:rPr>
                <w:rFonts w:ascii="Calibri" w:hAnsi="Calibri" w:cs="Arial"/>
                <w:b/>
                <w:bCs/>
                <w:szCs w:val="18"/>
                <w:lang w:eastAsia="en-GB"/>
              </w:rPr>
              <w:t>Equity</w:t>
            </w:r>
          </w:p>
        </w:tc>
        <w:tc>
          <w:tcPr>
            <w:tcW w:w="1560" w:type="dxa"/>
            <w:tcBorders>
              <w:top w:val="nil"/>
              <w:left w:val="nil"/>
              <w:bottom w:val="nil"/>
              <w:right w:val="nil"/>
            </w:tcBorders>
            <w:shd w:val="clear" w:color="000000" w:fill="FFFFFF"/>
            <w:vAlign w:val="center"/>
            <w:hideMark/>
          </w:tcPr>
          <w:p w14:paraId="0C2EDE34"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w:t>
            </w:r>
          </w:p>
        </w:tc>
        <w:tc>
          <w:tcPr>
            <w:tcW w:w="283" w:type="dxa"/>
            <w:tcBorders>
              <w:top w:val="nil"/>
              <w:left w:val="nil"/>
              <w:bottom w:val="nil"/>
              <w:right w:val="nil"/>
            </w:tcBorders>
            <w:shd w:val="clear" w:color="000000" w:fill="FFFFFF"/>
            <w:noWrap/>
            <w:vAlign w:val="bottom"/>
            <w:hideMark/>
          </w:tcPr>
          <w:p w14:paraId="7D0F2749"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496316C7"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w:t>
            </w:r>
          </w:p>
        </w:tc>
      </w:tr>
      <w:tr w:rsidR="00AE6AC8" w:rsidRPr="00AE6AC8" w14:paraId="2B772FEB" w14:textId="77777777" w:rsidTr="00AE6AC8">
        <w:trPr>
          <w:trHeight w:val="255"/>
        </w:trPr>
        <w:tc>
          <w:tcPr>
            <w:tcW w:w="6237" w:type="dxa"/>
            <w:tcBorders>
              <w:top w:val="nil"/>
              <w:left w:val="nil"/>
              <w:bottom w:val="nil"/>
              <w:right w:val="nil"/>
            </w:tcBorders>
            <w:shd w:val="clear" w:color="000000" w:fill="FFFFFF"/>
            <w:noWrap/>
            <w:vAlign w:val="center"/>
            <w:hideMark/>
          </w:tcPr>
          <w:p w14:paraId="7DFF7936" w14:textId="77777777" w:rsidR="009928C6" w:rsidRDefault="00AE6AC8">
            <w:pPr>
              <w:spacing w:after="0"/>
              <w:ind w:left="-108"/>
              <w:rPr>
                <w:rFonts w:ascii="Calibri" w:hAnsi="Calibri" w:cs="Arial"/>
                <w:szCs w:val="18"/>
                <w:lang w:eastAsia="en-GB"/>
              </w:rPr>
            </w:pPr>
            <w:r w:rsidRPr="00AE6AC8">
              <w:rPr>
                <w:rFonts w:ascii="Calibri" w:hAnsi="Calibri" w:cs="Arial"/>
                <w:szCs w:val="18"/>
                <w:lang w:eastAsia="en-GB"/>
              </w:rPr>
              <w:t>Share capital</w:t>
            </w:r>
          </w:p>
        </w:tc>
        <w:tc>
          <w:tcPr>
            <w:tcW w:w="1560" w:type="dxa"/>
            <w:tcBorders>
              <w:top w:val="nil"/>
              <w:left w:val="nil"/>
              <w:bottom w:val="nil"/>
              <w:right w:val="nil"/>
            </w:tcBorders>
            <w:shd w:val="clear" w:color="000000" w:fill="FFFFFF"/>
            <w:vAlign w:val="center"/>
            <w:hideMark/>
          </w:tcPr>
          <w:p w14:paraId="4CDA0AB9"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11,575 </w:t>
            </w:r>
          </w:p>
        </w:tc>
        <w:tc>
          <w:tcPr>
            <w:tcW w:w="283" w:type="dxa"/>
            <w:tcBorders>
              <w:top w:val="nil"/>
              <w:left w:val="nil"/>
              <w:bottom w:val="nil"/>
              <w:right w:val="nil"/>
            </w:tcBorders>
            <w:shd w:val="clear" w:color="000000" w:fill="FFFFFF"/>
            <w:noWrap/>
            <w:vAlign w:val="bottom"/>
            <w:hideMark/>
          </w:tcPr>
          <w:p w14:paraId="63DA29A8"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437CF2B0"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11,575 </w:t>
            </w:r>
          </w:p>
        </w:tc>
      </w:tr>
      <w:tr w:rsidR="00AE6AC8" w:rsidRPr="00AE6AC8" w14:paraId="41E68F14" w14:textId="77777777" w:rsidTr="00AE6AC8">
        <w:trPr>
          <w:trHeight w:val="255"/>
        </w:trPr>
        <w:tc>
          <w:tcPr>
            <w:tcW w:w="6237" w:type="dxa"/>
            <w:tcBorders>
              <w:top w:val="nil"/>
              <w:left w:val="nil"/>
              <w:bottom w:val="nil"/>
              <w:right w:val="nil"/>
            </w:tcBorders>
            <w:shd w:val="clear" w:color="000000" w:fill="FFFFFF"/>
            <w:noWrap/>
            <w:vAlign w:val="center"/>
            <w:hideMark/>
          </w:tcPr>
          <w:p w14:paraId="16760604" w14:textId="77777777" w:rsidR="009928C6" w:rsidRDefault="00AE6AC8">
            <w:pPr>
              <w:spacing w:after="0"/>
              <w:ind w:left="-108"/>
              <w:rPr>
                <w:rFonts w:ascii="Calibri" w:hAnsi="Calibri" w:cs="Arial"/>
                <w:szCs w:val="18"/>
                <w:lang w:eastAsia="en-GB"/>
              </w:rPr>
            </w:pPr>
            <w:r w:rsidRPr="00AE6AC8">
              <w:rPr>
                <w:rFonts w:ascii="Calibri" w:hAnsi="Calibri" w:cs="Arial"/>
                <w:szCs w:val="18"/>
                <w:lang w:eastAsia="en-GB"/>
              </w:rPr>
              <w:t>Share premium account</w:t>
            </w:r>
          </w:p>
        </w:tc>
        <w:tc>
          <w:tcPr>
            <w:tcW w:w="1560" w:type="dxa"/>
            <w:tcBorders>
              <w:top w:val="nil"/>
              <w:left w:val="nil"/>
              <w:bottom w:val="nil"/>
              <w:right w:val="nil"/>
            </w:tcBorders>
            <w:shd w:val="clear" w:color="000000" w:fill="FFFFFF"/>
            <w:vAlign w:val="center"/>
            <w:hideMark/>
          </w:tcPr>
          <w:p w14:paraId="48D19168"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  </w:t>
            </w:r>
          </w:p>
        </w:tc>
        <w:tc>
          <w:tcPr>
            <w:tcW w:w="283" w:type="dxa"/>
            <w:tcBorders>
              <w:top w:val="nil"/>
              <w:left w:val="nil"/>
              <w:bottom w:val="nil"/>
              <w:right w:val="nil"/>
            </w:tcBorders>
            <w:shd w:val="clear" w:color="000000" w:fill="FFFFFF"/>
            <w:noWrap/>
            <w:vAlign w:val="bottom"/>
            <w:hideMark/>
          </w:tcPr>
          <w:p w14:paraId="2AC42756"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4225DEF1"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  </w:t>
            </w:r>
          </w:p>
        </w:tc>
      </w:tr>
      <w:tr w:rsidR="00AE6AC8" w:rsidRPr="00AE6AC8" w14:paraId="15200F54" w14:textId="77777777" w:rsidTr="00AE6AC8">
        <w:trPr>
          <w:trHeight w:val="255"/>
        </w:trPr>
        <w:tc>
          <w:tcPr>
            <w:tcW w:w="6237" w:type="dxa"/>
            <w:tcBorders>
              <w:top w:val="nil"/>
              <w:left w:val="nil"/>
              <w:bottom w:val="nil"/>
              <w:right w:val="nil"/>
            </w:tcBorders>
            <w:shd w:val="clear" w:color="000000" w:fill="FFFFFF"/>
            <w:noWrap/>
            <w:vAlign w:val="center"/>
            <w:hideMark/>
          </w:tcPr>
          <w:p w14:paraId="450BCFB4" w14:textId="77777777" w:rsidR="009928C6" w:rsidRDefault="00AE6AC8">
            <w:pPr>
              <w:spacing w:after="0"/>
              <w:ind w:left="-108"/>
              <w:rPr>
                <w:rFonts w:ascii="Calibri" w:hAnsi="Calibri" w:cs="Arial"/>
                <w:szCs w:val="18"/>
                <w:lang w:eastAsia="en-GB"/>
              </w:rPr>
            </w:pPr>
            <w:r w:rsidRPr="00AE6AC8">
              <w:rPr>
                <w:rFonts w:ascii="Calibri" w:hAnsi="Calibri" w:cs="Arial"/>
                <w:szCs w:val="18"/>
                <w:lang w:eastAsia="en-GB"/>
              </w:rPr>
              <w:t>Treasury reserve</w:t>
            </w:r>
          </w:p>
        </w:tc>
        <w:tc>
          <w:tcPr>
            <w:tcW w:w="1560" w:type="dxa"/>
            <w:tcBorders>
              <w:top w:val="nil"/>
              <w:left w:val="nil"/>
              <w:bottom w:val="nil"/>
              <w:right w:val="nil"/>
            </w:tcBorders>
            <w:shd w:val="clear" w:color="000000" w:fill="FFFFFF"/>
            <w:vAlign w:val="center"/>
            <w:hideMark/>
          </w:tcPr>
          <w:p w14:paraId="712BF345"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(5)</w:t>
            </w:r>
          </w:p>
        </w:tc>
        <w:tc>
          <w:tcPr>
            <w:tcW w:w="283" w:type="dxa"/>
            <w:tcBorders>
              <w:top w:val="nil"/>
              <w:left w:val="nil"/>
              <w:bottom w:val="nil"/>
              <w:right w:val="nil"/>
            </w:tcBorders>
            <w:shd w:val="clear" w:color="000000" w:fill="FFFFFF"/>
            <w:noWrap/>
            <w:vAlign w:val="bottom"/>
            <w:hideMark/>
          </w:tcPr>
          <w:p w14:paraId="3E2097D3"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036D59F0"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(5)</w:t>
            </w:r>
          </w:p>
        </w:tc>
      </w:tr>
      <w:tr w:rsidR="00AE6AC8" w:rsidRPr="00AE6AC8" w14:paraId="76C51CD5" w14:textId="77777777" w:rsidTr="00AE6AC8">
        <w:trPr>
          <w:trHeight w:val="255"/>
        </w:trPr>
        <w:tc>
          <w:tcPr>
            <w:tcW w:w="6237" w:type="dxa"/>
            <w:tcBorders>
              <w:top w:val="nil"/>
              <w:left w:val="nil"/>
              <w:bottom w:val="nil"/>
              <w:right w:val="nil"/>
            </w:tcBorders>
            <w:shd w:val="clear" w:color="000000" w:fill="FFFFFF"/>
            <w:noWrap/>
            <w:vAlign w:val="center"/>
            <w:hideMark/>
          </w:tcPr>
          <w:p w14:paraId="09F8B367" w14:textId="77777777" w:rsidR="009928C6" w:rsidRDefault="00AE6AC8">
            <w:pPr>
              <w:spacing w:after="0"/>
              <w:ind w:left="-108"/>
              <w:rPr>
                <w:rFonts w:ascii="Calibri" w:hAnsi="Calibri" w:cs="Arial"/>
                <w:szCs w:val="18"/>
                <w:lang w:eastAsia="en-GB"/>
              </w:rPr>
            </w:pPr>
            <w:r w:rsidRPr="00AE6AC8">
              <w:rPr>
                <w:rFonts w:ascii="Calibri" w:hAnsi="Calibri" w:cs="Arial"/>
                <w:szCs w:val="18"/>
                <w:lang w:eastAsia="en-GB"/>
              </w:rPr>
              <w:t>Reverse acquisition reserve</w:t>
            </w:r>
          </w:p>
        </w:tc>
        <w:tc>
          <w:tcPr>
            <w:tcW w:w="1560" w:type="dxa"/>
            <w:tcBorders>
              <w:top w:val="nil"/>
              <w:left w:val="nil"/>
              <w:bottom w:val="nil"/>
              <w:right w:val="nil"/>
            </w:tcBorders>
            <w:shd w:val="clear" w:color="000000" w:fill="FFFFFF"/>
            <w:vAlign w:val="center"/>
            <w:hideMark/>
          </w:tcPr>
          <w:p w14:paraId="25073E80"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(4,430)</w:t>
            </w:r>
          </w:p>
        </w:tc>
        <w:tc>
          <w:tcPr>
            <w:tcW w:w="283" w:type="dxa"/>
            <w:tcBorders>
              <w:top w:val="nil"/>
              <w:left w:val="nil"/>
              <w:bottom w:val="nil"/>
              <w:right w:val="nil"/>
            </w:tcBorders>
            <w:shd w:val="clear" w:color="000000" w:fill="FFFFFF"/>
            <w:noWrap/>
            <w:vAlign w:val="bottom"/>
            <w:hideMark/>
          </w:tcPr>
          <w:p w14:paraId="21F5844D"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62E1429B"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  </w:t>
            </w:r>
          </w:p>
        </w:tc>
      </w:tr>
      <w:tr w:rsidR="00AE6AC8" w:rsidRPr="00AE6AC8" w14:paraId="4458488D" w14:textId="77777777" w:rsidTr="00AE6AC8">
        <w:trPr>
          <w:trHeight w:val="255"/>
        </w:trPr>
        <w:tc>
          <w:tcPr>
            <w:tcW w:w="6237" w:type="dxa"/>
            <w:tcBorders>
              <w:top w:val="nil"/>
              <w:left w:val="nil"/>
              <w:bottom w:val="nil"/>
              <w:right w:val="nil"/>
            </w:tcBorders>
            <w:shd w:val="clear" w:color="000000" w:fill="FFFFFF"/>
            <w:noWrap/>
            <w:vAlign w:val="center"/>
            <w:hideMark/>
          </w:tcPr>
          <w:p w14:paraId="02F00022" w14:textId="77777777" w:rsidR="009928C6" w:rsidRDefault="00AE6AC8">
            <w:pPr>
              <w:spacing w:after="0"/>
              <w:ind w:left="-108"/>
              <w:rPr>
                <w:rFonts w:ascii="Calibri" w:hAnsi="Calibri" w:cs="Arial"/>
                <w:szCs w:val="18"/>
                <w:lang w:eastAsia="en-GB"/>
              </w:rPr>
            </w:pPr>
            <w:r w:rsidRPr="00AE6AC8">
              <w:rPr>
                <w:rFonts w:ascii="Calibri" w:hAnsi="Calibri" w:cs="Arial"/>
                <w:szCs w:val="18"/>
                <w:lang w:eastAsia="en-GB"/>
              </w:rPr>
              <w:t>Foreign exchange re</w:t>
            </w:r>
            <w:r w:rsidR="003105FC">
              <w:rPr>
                <w:rFonts w:ascii="Calibri" w:hAnsi="Calibri" w:cs="Arial"/>
                <w:szCs w:val="18"/>
                <w:lang w:eastAsia="en-GB"/>
              </w:rPr>
              <w:t>s</w:t>
            </w:r>
            <w:r w:rsidRPr="00AE6AC8">
              <w:rPr>
                <w:rFonts w:ascii="Calibri" w:hAnsi="Calibri" w:cs="Arial"/>
                <w:szCs w:val="18"/>
                <w:lang w:eastAsia="en-GB"/>
              </w:rPr>
              <w:t>erve</w:t>
            </w:r>
          </w:p>
        </w:tc>
        <w:tc>
          <w:tcPr>
            <w:tcW w:w="1560" w:type="dxa"/>
            <w:tcBorders>
              <w:top w:val="nil"/>
              <w:left w:val="nil"/>
              <w:bottom w:val="nil"/>
              <w:right w:val="nil"/>
            </w:tcBorders>
            <w:shd w:val="clear" w:color="000000" w:fill="FFFFFF"/>
            <w:vAlign w:val="center"/>
            <w:hideMark/>
          </w:tcPr>
          <w:p w14:paraId="4C41C96E"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(100)</w:t>
            </w:r>
          </w:p>
        </w:tc>
        <w:tc>
          <w:tcPr>
            <w:tcW w:w="283" w:type="dxa"/>
            <w:tcBorders>
              <w:top w:val="nil"/>
              <w:left w:val="nil"/>
              <w:bottom w:val="nil"/>
              <w:right w:val="nil"/>
            </w:tcBorders>
            <w:shd w:val="clear" w:color="000000" w:fill="FFFFFF"/>
            <w:noWrap/>
            <w:vAlign w:val="bottom"/>
            <w:hideMark/>
          </w:tcPr>
          <w:p w14:paraId="12D959D5"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3757F4D4"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  </w:t>
            </w:r>
          </w:p>
        </w:tc>
      </w:tr>
      <w:tr w:rsidR="00AE6AC8" w:rsidRPr="00AE6AC8" w14:paraId="7E608AB6" w14:textId="77777777" w:rsidTr="00AE6AC8">
        <w:trPr>
          <w:trHeight w:val="255"/>
        </w:trPr>
        <w:tc>
          <w:tcPr>
            <w:tcW w:w="6237" w:type="dxa"/>
            <w:tcBorders>
              <w:top w:val="nil"/>
              <w:left w:val="nil"/>
              <w:bottom w:val="nil"/>
              <w:right w:val="nil"/>
            </w:tcBorders>
            <w:shd w:val="clear" w:color="000000" w:fill="FFFFFF"/>
            <w:noWrap/>
            <w:vAlign w:val="center"/>
            <w:hideMark/>
          </w:tcPr>
          <w:p w14:paraId="09E41368" w14:textId="77777777" w:rsidR="009928C6" w:rsidRDefault="00AE6AC8">
            <w:pPr>
              <w:spacing w:after="0"/>
              <w:ind w:left="-108"/>
              <w:rPr>
                <w:rFonts w:ascii="Calibri" w:hAnsi="Calibri" w:cs="Arial"/>
                <w:szCs w:val="18"/>
                <w:lang w:eastAsia="en-GB"/>
              </w:rPr>
            </w:pPr>
            <w:r w:rsidRPr="00AE6AC8">
              <w:rPr>
                <w:rFonts w:ascii="Calibri" w:hAnsi="Calibri" w:cs="Arial"/>
                <w:szCs w:val="18"/>
                <w:lang w:eastAsia="en-GB"/>
              </w:rPr>
              <w:t>Retained earnings</w:t>
            </w:r>
          </w:p>
        </w:tc>
        <w:tc>
          <w:tcPr>
            <w:tcW w:w="1560" w:type="dxa"/>
            <w:tcBorders>
              <w:top w:val="nil"/>
              <w:left w:val="nil"/>
              <w:bottom w:val="nil"/>
              <w:right w:val="nil"/>
            </w:tcBorders>
            <w:shd w:val="clear" w:color="000000" w:fill="FFFFFF"/>
            <w:vAlign w:val="center"/>
            <w:hideMark/>
          </w:tcPr>
          <w:p w14:paraId="0DC92984"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(6,249)</w:t>
            </w:r>
          </w:p>
        </w:tc>
        <w:tc>
          <w:tcPr>
            <w:tcW w:w="283" w:type="dxa"/>
            <w:tcBorders>
              <w:top w:val="nil"/>
              <w:left w:val="nil"/>
              <w:bottom w:val="nil"/>
              <w:right w:val="nil"/>
            </w:tcBorders>
            <w:shd w:val="clear" w:color="000000" w:fill="FFFFFF"/>
            <w:noWrap/>
            <w:vAlign w:val="bottom"/>
            <w:hideMark/>
          </w:tcPr>
          <w:p w14:paraId="794A7149"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nil"/>
              <w:left w:val="nil"/>
              <w:bottom w:val="nil"/>
              <w:right w:val="nil"/>
            </w:tcBorders>
            <w:shd w:val="clear" w:color="000000" w:fill="FFFFFF"/>
            <w:vAlign w:val="center"/>
            <w:hideMark/>
          </w:tcPr>
          <w:p w14:paraId="37E8F089"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3,496 </w:t>
            </w:r>
          </w:p>
        </w:tc>
      </w:tr>
      <w:tr w:rsidR="00AE6AC8" w:rsidRPr="00AE6AC8" w14:paraId="5D91E770" w14:textId="77777777" w:rsidTr="00AE6AC8">
        <w:trPr>
          <w:trHeight w:val="270"/>
        </w:trPr>
        <w:tc>
          <w:tcPr>
            <w:tcW w:w="6237" w:type="dxa"/>
            <w:tcBorders>
              <w:top w:val="nil"/>
              <w:left w:val="nil"/>
              <w:bottom w:val="nil"/>
              <w:right w:val="nil"/>
            </w:tcBorders>
            <w:shd w:val="clear" w:color="000000" w:fill="FFFFFF"/>
            <w:noWrap/>
            <w:vAlign w:val="center"/>
            <w:hideMark/>
          </w:tcPr>
          <w:p w14:paraId="58B66B3E" w14:textId="77777777" w:rsidR="009928C6" w:rsidRDefault="00AE6AC8">
            <w:pPr>
              <w:spacing w:after="0"/>
              <w:ind w:left="-108"/>
              <w:rPr>
                <w:rFonts w:ascii="Calibri" w:hAnsi="Calibri" w:cs="Arial"/>
                <w:b/>
                <w:bCs/>
                <w:szCs w:val="18"/>
                <w:lang w:eastAsia="en-GB"/>
              </w:rPr>
            </w:pPr>
            <w:r w:rsidRPr="00AE6AC8">
              <w:rPr>
                <w:rFonts w:ascii="Calibri" w:hAnsi="Calibri" w:cs="Arial"/>
                <w:b/>
                <w:bCs/>
                <w:szCs w:val="18"/>
                <w:lang w:eastAsia="en-GB"/>
              </w:rPr>
              <w:t>Total Equity</w:t>
            </w:r>
          </w:p>
        </w:tc>
        <w:tc>
          <w:tcPr>
            <w:tcW w:w="1560" w:type="dxa"/>
            <w:tcBorders>
              <w:top w:val="single" w:sz="4" w:space="0" w:color="auto"/>
              <w:left w:val="nil"/>
              <w:bottom w:val="double" w:sz="6" w:space="0" w:color="auto"/>
              <w:right w:val="nil"/>
            </w:tcBorders>
            <w:shd w:val="clear" w:color="000000" w:fill="FFFFFF"/>
            <w:vAlign w:val="center"/>
            <w:hideMark/>
          </w:tcPr>
          <w:p w14:paraId="693CFE91"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790 </w:t>
            </w:r>
          </w:p>
        </w:tc>
        <w:tc>
          <w:tcPr>
            <w:tcW w:w="283" w:type="dxa"/>
            <w:tcBorders>
              <w:top w:val="nil"/>
              <w:left w:val="nil"/>
              <w:bottom w:val="nil"/>
              <w:right w:val="nil"/>
            </w:tcBorders>
            <w:shd w:val="clear" w:color="000000" w:fill="FFFFFF"/>
            <w:noWrap/>
            <w:vAlign w:val="bottom"/>
            <w:hideMark/>
          </w:tcPr>
          <w:p w14:paraId="63FEE0BB" w14:textId="77777777" w:rsidR="00AE6AC8" w:rsidRPr="00AE6AC8" w:rsidRDefault="00AE6AC8" w:rsidP="00AE6AC8">
            <w:pPr>
              <w:spacing w:after="0"/>
              <w:rPr>
                <w:rFonts w:cs="Arial"/>
                <w:sz w:val="20"/>
                <w:szCs w:val="20"/>
                <w:lang w:eastAsia="en-GB"/>
              </w:rPr>
            </w:pPr>
            <w:r w:rsidRPr="00AE6AC8">
              <w:rPr>
                <w:rFonts w:cs="Arial"/>
                <w:sz w:val="20"/>
                <w:szCs w:val="20"/>
                <w:lang w:eastAsia="en-GB"/>
              </w:rPr>
              <w:t> </w:t>
            </w:r>
          </w:p>
        </w:tc>
        <w:tc>
          <w:tcPr>
            <w:tcW w:w="1418" w:type="dxa"/>
            <w:tcBorders>
              <w:top w:val="single" w:sz="4" w:space="0" w:color="auto"/>
              <w:left w:val="nil"/>
              <w:bottom w:val="double" w:sz="6" w:space="0" w:color="auto"/>
              <w:right w:val="nil"/>
            </w:tcBorders>
            <w:shd w:val="clear" w:color="000000" w:fill="FFFFFF"/>
            <w:vAlign w:val="center"/>
            <w:hideMark/>
          </w:tcPr>
          <w:p w14:paraId="440060E4" w14:textId="77777777" w:rsidR="00AE6AC8" w:rsidRPr="00AE6AC8" w:rsidRDefault="00AE6AC8" w:rsidP="00AE6AC8">
            <w:pPr>
              <w:spacing w:after="0"/>
              <w:jc w:val="right"/>
              <w:rPr>
                <w:rFonts w:ascii="Calibri" w:hAnsi="Calibri" w:cs="Arial"/>
                <w:b/>
                <w:bCs/>
                <w:szCs w:val="18"/>
                <w:lang w:eastAsia="en-GB"/>
              </w:rPr>
            </w:pPr>
            <w:r w:rsidRPr="00AE6AC8">
              <w:rPr>
                <w:rFonts w:ascii="Calibri" w:hAnsi="Calibri" w:cs="Arial"/>
                <w:b/>
                <w:bCs/>
                <w:szCs w:val="18"/>
                <w:lang w:eastAsia="en-GB"/>
              </w:rPr>
              <w:t xml:space="preserve">15,066 </w:t>
            </w:r>
          </w:p>
        </w:tc>
      </w:tr>
    </w:tbl>
    <w:p w14:paraId="4168A102" w14:textId="77777777" w:rsidR="000C331C" w:rsidRPr="00443D14" w:rsidRDefault="000C331C" w:rsidP="00784641">
      <w:pPr>
        <w:autoSpaceDE w:val="0"/>
        <w:autoSpaceDN w:val="0"/>
        <w:adjustRightInd w:val="0"/>
        <w:spacing w:after="0"/>
        <w:rPr>
          <w:rFonts w:ascii="Calibri" w:hAnsi="Calibri"/>
          <w:szCs w:val="18"/>
          <w:highlight w:val="yellow"/>
        </w:rPr>
      </w:pPr>
    </w:p>
    <w:p w14:paraId="65F5A417" w14:textId="77777777" w:rsidR="00784641" w:rsidRPr="00B64527" w:rsidRDefault="004B015C" w:rsidP="00784641">
      <w:pPr>
        <w:autoSpaceDE w:val="0"/>
        <w:autoSpaceDN w:val="0"/>
        <w:adjustRightInd w:val="0"/>
        <w:spacing w:after="0"/>
        <w:rPr>
          <w:rFonts w:ascii="Calibri" w:hAnsi="Calibri" w:cs="Helvetica"/>
          <w:b/>
          <w:color w:val="000000"/>
          <w:szCs w:val="18"/>
          <w:highlight w:val="yellow"/>
        </w:rPr>
      </w:pPr>
      <w:r w:rsidRPr="004B015C">
        <w:rPr>
          <w:rFonts w:ascii="Calibri" w:hAnsi="Calibri"/>
          <w:szCs w:val="18"/>
          <w:highlight w:val="yellow"/>
        </w:rPr>
        <w:t xml:space="preserve"> </w:t>
      </w:r>
    </w:p>
    <w:p w14:paraId="1BA4E272" w14:textId="77777777" w:rsidR="00CD1FDB" w:rsidRDefault="00CD1FDB"/>
    <w:sectPr w:rsidR="00CD1FDB" w:rsidSect="002624F1">
      <w:headerReference w:type="default" r:id="rId10"/>
      <w:pgSz w:w="11906" w:h="16838" w:code="9"/>
      <w:pgMar w:top="899" w:right="1077" w:bottom="1077" w:left="136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98E76" w14:textId="77777777" w:rsidR="004A7C08" w:rsidRDefault="004A7C08">
      <w:pPr>
        <w:spacing w:after="0"/>
      </w:pPr>
      <w:r>
        <w:separator/>
      </w:r>
    </w:p>
  </w:endnote>
  <w:endnote w:type="continuationSeparator" w:id="0">
    <w:p w14:paraId="1022DC9A" w14:textId="77777777" w:rsidR="004A7C08" w:rsidRDefault="004A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57D1" w14:textId="77777777" w:rsidR="004A7C08" w:rsidRDefault="004A7C08">
      <w:pPr>
        <w:spacing w:after="0"/>
      </w:pPr>
      <w:r>
        <w:separator/>
      </w:r>
    </w:p>
  </w:footnote>
  <w:footnote w:type="continuationSeparator" w:id="0">
    <w:p w14:paraId="1B489404" w14:textId="77777777" w:rsidR="004A7C08" w:rsidRDefault="004A7C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ECEF" w14:textId="77777777" w:rsidR="004A7C08" w:rsidRDefault="004A7C08">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72A8" w14:textId="74CCA5FF" w:rsidR="004A7C08" w:rsidRPr="00F032FF" w:rsidRDefault="004A7C08" w:rsidP="00F03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DF9"/>
    <w:multiLevelType w:val="hybridMultilevel"/>
    <w:tmpl w:val="C15C96B0"/>
    <w:lvl w:ilvl="0" w:tplc="D4FED6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F4A0D"/>
    <w:multiLevelType w:val="hybridMultilevel"/>
    <w:tmpl w:val="3E246F40"/>
    <w:lvl w:ilvl="0" w:tplc="F03E4300">
      <w:start w:val="1"/>
      <w:numFmt w:val="bullet"/>
      <w:pStyle w:val="B1"/>
      <w:lvlText w:val=""/>
      <w:lvlJc w:val="left"/>
      <w:pPr>
        <w:tabs>
          <w:tab w:val="num" w:pos="992"/>
        </w:tabs>
        <w:ind w:left="992" w:hanging="425"/>
      </w:pPr>
      <w:rPr>
        <w:rFonts w:ascii="Wingdings 2" w:hAnsi="Wingdings 2" w:hint="default"/>
        <w:color w:val="auto"/>
        <w:sz w:val="18"/>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nsid w:val="18994993"/>
    <w:multiLevelType w:val="hybridMultilevel"/>
    <w:tmpl w:val="6B8672E0"/>
    <w:lvl w:ilvl="0" w:tplc="4530B4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400E0D"/>
    <w:multiLevelType w:val="hybridMultilevel"/>
    <w:tmpl w:val="86D89D36"/>
    <w:lvl w:ilvl="0" w:tplc="4EE2A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B1492"/>
    <w:multiLevelType w:val="hybridMultilevel"/>
    <w:tmpl w:val="C64A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2E831871"/>
    <w:multiLevelType w:val="multilevel"/>
    <w:tmpl w:val="41F838C8"/>
    <w:styleLink w:val="StyleBulleted6ptCustomColorRGB92993"/>
    <w:lvl w:ilvl="0">
      <w:numFmt w:val="bullet"/>
      <w:lvlText w:val=""/>
      <w:lvlJc w:val="left"/>
      <w:pPr>
        <w:tabs>
          <w:tab w:val="num" w:pos="405"/>
        </w:tabs>
        <w:ind w:left="405" w:hanging="360"/>
      </w:pPr>
      <w:rPr>
        <w:rFonts w:ascii="Wingdings" w:hAnsi="Wingdings" w:hint="default"/>
        <w:color w:val="auto"/>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BC1F14"/>
    <w:multiLevelType w:val="hybridMultilevel"/>
    <w:tmpl w:val="3E72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510F6D5A"/>
    <w:multiLevelType w:val="hybridMultilevel"/>
    <w:tmpl w:val="C40E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2136FFA"/>
    <w:multiLevelType w:val="hybridMultilevel"/>
    <w:tmpl w:val="576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83B28"/>
    <w:multiLevelType w:val="hybridMultilevel"/>
    <w:tmpl w:val="430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AE383D"/>
    <w:multiLevelType w:val="hybridMultilevel"/>
    <w:tmpl w:val="8A50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954997"/>
    <w:multiLevelType w:val="hybridMultilevel"/>
    <w:tmpl w:val="50B484D6"/>
    <w:lvl w:ilvl="0" w:tplc="F03E4300">
      <w:start w:val="1"/>
      <w:numFmt w:val="bullet"/>
      <w:pStyle w:val="ListBullet"/>
      <w:lvlText w:val=""/>
      <w:lvlJc w:val="left"/>
      <w:pPr>
        <w:tabs>
          <w:tab w:val="num" w:pos="992"/>
        </w:tabs>
        <w:ind w:left="992" w:hanging="425"/>
      </w:pPr>
      <w:rPr>
        <w:rFonts w:ascii="Wingdings 2" w:hAnsi="Wingdings 2" w:hint="default"/>
        <w:color w:val="auto"/>
        <w:sz w:val="18"/>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2">
    <w:nsid w:val="7FF8185C"/>
    <w:multiLevelType w:val="hybridMultilevel"/>
    <w:tmpl w:val="1298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3"/>
  </w:num>
  <w:num w:numId="5">
    <w:abstractNumId w:val="4"/>
  </w:num>
  <w:num w:numId="6">
    <w:abstractNumId w:val="6"/>
  </w:num>
  <w:num w:numId="7">
    <w:abstractNumId w:val="7"/>
  </w:num>
  <w:num w:numId="8">
    <w:abstractNumId w:val="9"/>
  </w:num>
  <w:num w:numId="9">
    <w:abstractNumId w:val="10"/>
  </w:num>
  <w:num w:numId="10">
    <w:abstractNumId w:val="2"/>
  </w:num>
  <w:num w:numId="11">
    <w:abstractNumId w:val="8"/>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Christopher Dent">
    <w15:presenceInfo w15:providerId="Windows Live" w15:userId="8977ffeaea264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AC"/>
    <w:rsid w:val="000054C0"/>
    <w:rsid w:val="0000692E"/>
    <w:rsid w:val="00006A7F"/>
    <w:rsid w:val="0001095B"/>
    <w:rsid w:val="00026A5A"/>
    <w:rsid w:val="000402BC"/>
    <w:rsid w:val="0004751B"/>
    <w:rsid w:val="00050CC3"/>
    <w:rsid w:val="00052781"/>
    <w:rsid w:val="00052D50"/>
    <w:rsid w:val="00062847"/>
    <w:rsid w:val="000703FD"/>
    <w:rsid w:val="00072C9D"/>
    <w:rsid w:val="0007458E"/>
    <w:rsid w:val="00093AF1"/>
    <w:rsid w:val="00096CE0"/>
    <w:rsid w:val="000A4F21"/>
    <w:rsid w:val="000B2E6C"/>
    <w:rsid w:val="000B6410"/>
    <w:rsid w:val="000B68E5"/>
    <w:rsid w:val="000C331C"/>
    <w:rsid w:val="000C47C4"/>
    <w:rsid w:val="000C66FC"/>
    <w:rsid w:val="000D5691"/>
    <w:rsid w:val="000D5994"/>
    <w:rsid w:val="000E0968"/>
    <w:rsid w:val="000E4F41"/>
    <w:rsid w:val="00114977"/>
    <w:rsid w:val="00133211"/>
    <w:rsid w:val="001355AC"/>
    <w:rsid w:val="00141706"/>
    <w:rsid w:val="00143288"/>
    <w:rsid w:val="00160B67"/>
    <w:rsid w:val="001747A2"/>
    <w:rsid w:val="00181ED9"/>
    <w:rsid w:val="00182B97"/>
    <w:rsid w:val="0018303A"/>
    <w:rsid w:val="001832D4"/>
    <w:rsid w:val="00183A4D"/>
    <w:rsid w:val="001863CF"/>
    <w:rsid w:val="001925DE"/>
    <w:rsid w:val="001947B8"/>
    <w:rsid w:val="0019742F"/>
    <w:rsid w:val="001A41F4"/>
    <w:rsid w:val="001A44E7"/>
    <w:rsid w:val="001B154B"/>
    <w:rsid w:val="001C45B0"/>
    <w:rsid w:val="001D382B"/>
    <w:rsid w:val="001D5D01"/>
    <w:rsid w:val="001D7909"/>
    <w:rsid w:val="001F11DD"/>
    <w:rsid w:val="001F1908"/>
    <w:rsid w:val="001F4AAF"/>
    <w:rsid w:val="00204B6C"/>
    <w:rsid w:val="002059B9"/>
    <w:rsid w:val="00206D39"/>
    <w:rsid w:val="0021606A"/>
    <w:rsid w:val="0021677D"/>
    <w:rsid w:val="00230517"/>
    <w:rsid w:val="0023378A"/>
    <w:rsid w:val="002355CF"/>
    <w:rsid w:val="0024226D"/>
    <w:rsid w:val="00242587"/>
    <w:rsid w:val="002432A3"/>
    <w:rsid w:val="00260A13"/>
    <w:rsid w:val="002624F1"/>
    <w:rsid w:val="00264A17"/>
    <w:rsid w:val="00272C0A"/>
    <w:rsid w:val="0027343C"/>
    <w:rsid w:val="00276666"/>
    <w:rsid w:val="002776D3"/>
    <w:rsid w:val="00285792"/>
    <w:rsid w:val="002A30C1"/>
    <w:rsid w:val="002A7348"/>
    <w:rsid w:val="002A7699"/>
    <w:rsid w:val="002B3DC9"/>
    <w:rsid w:val="002C59EF"/>
    <w:rsid w:val="002D491F"/>
    <w:rsid w:val="002E079F"/>
    <w:rsid w:val="002E500A"/>
    <w:rsid w:val="002E5130"/>
    <w:rsid w:val="002E53D4"/>
    <w:rsid w:val="00301A88"/>
    <w:rsid w:val="00302FB5"/>
    <w:rsid w:val="003105FC"/>
    <w:rsid w:val="003178EE"/>
    <w:rsid w:val="00323FF1"/>
    <w:rsid w:val="00324101"/>
    <w:rsid w:val="003333F5"/>
    <w:rsid w:val="00337B48"/>
    <w:rsid w:val="00361FA6"/>
    <w:rsid w:val="003679C2"/>
    <w:rsid w:val="003754C4"/>
    <w:rsid w:val="003A1B37"/>
    <w:rsid w:val="003A3914"/>
    <w:rsid w:val="003B0C3C"/>
    <w:rsid w:val="003B4178"/>
    <w:rsid w:val="003B5270"/>
    <w:rsid w:val="003C5E54"/>
    <w:rsid w:val="003C7D79"/>
    <w:rsid w:val="003D1F08"/>
    <w:rsid w:val="003E0C0A"/>
    <w:rsid w:val="003E6E71"/>
    <w:rsid w:val="003E7B37"/>
    <w:rsid w:val="003F0925"/>
    <w:rsid w:val="003F5CE8"/>
    <w:rsid w:val="0040626D"/>
    <w:rsid w:val="00411CD0"/>
    <w:rsid w:val="00416C4D"/>
    <w:rsid w:val="00417FBA"/>
    <w:rsid w:val="00425BDB"/>
    <w:rsid w:val="00443D14"/>
    <w:rsid w:val="00451645"/>
    <w:rsid w:val="00457783"/>
    <w:rsid w:val="00461E40"/>
    <w:rsid w:val="004748CE"/>
    <w:rsid w:val="00481223"/>
    <w:rsid w:val="0048522C"/>
    <w:rsid w:val="00486E52"/>
    <w:rsid w:val="004900B7"/>
    <w:rsid w:val="00490B6E"/>
    <w:rsid w:val="004A00EE"/>
    <w:rsid w:val="004A3817"/>
    <w:rsid w:val="004A7C08"/>
    <w:rsid w:val="004B015C"/>
    <w:rsid w:val="004B08DD"/>
    <w:rsid w:val="004B2D59"/>
    <w:rsid w:val="004C0C8A"/>
    <w:rsid w:val="004C49DD"/>
    <w:rsid w:val="004C6747"/>
    <w:rsid w:val="004C737F"/>
    <w:rsid w:val="004D0DF4"/>
    <w:rsid w:val="004D2AE3"/>
    <w:rsid w:val="004D32EF"/>
    <w:rsid w:val="004E057C"/>
    <w:rsid w:val="004F441E"/>
    <w:rsid w:val="00514566"/>
    <w:rsid w:val="005209C0"/>
    <w:rsid w:val="0052179E"/>
    <w:rsid w:val="00525233"/>
    <w:rsid w:val="00531B91"/>
    <w:rsid w:val="00537176"/>
    <w:rsid w:val="00543785"/>
    <w:rsid w:val="005510A1"/>
    <w:rsid w:val="005518F4"/>
    <w:rsid w:val="00552054"/>
    <w:rsid w:val="0055213A"/>
    <w:rsid w:val="00561A22"/>
    <w:rsid w:val="005626D2"/>
    <w:rsid w:val="00566620"/>
    <w:rsid w:val="0057164C"/>
    <w:rsid w:val="00577155"/>
    <w:rsid w:val="005820A7"/>
    <w:rsid w:val="00582B4E"/>
    <w:rsid w:val="0059112A"/>
    <w:rsid w:val="00595BE4"/>
    <w:rsid w:val="005B175E"/>
    <w:rsid w:val="005B634E"/>
    <w:rsid w:val="005C0A04"/>
    <w:rsid w:val="005C1A96"/>
    <w:rsid w:val="005C2DE7"/>
    <w:rsid w:val="005C54A7"/>
    <w:rsid w:val="005D4AFB"/>
    <w:rsid w:val="005D5CFF"/>
    <w:rsid w:val="005D6BAD"/>
    <w:rsid w:val="005F1E6E"/>
    <w:rsid w:val="0060244D"/>
    <w:rsid w:val="00604C28"/>
    <w:rsid w:val="00617C66"/>
    <w:rsid w:val="006236B2"/>
    <w:rsid w:val="00634B47"/>
    <w:rsid w:val="00645519"/>
    <w:rsid w:val="00650A3F"/>
    <w:rsid w:val="00663850"/>
    <w:rsid w:val="00665A17"/>
    <w:rsid w:val="00671A1C"/>
    <w:rsid w:val="00675858"/>
    <w:rsid w:val="00685A76"/>
    <w:rsid w:val="00686DAF"/>
    <w:rsid w:val="00692AFE"/>
    <w:rsid w:val="006A0632"/>
    <w:rsid w:val="006B0DB9"/>
    <w:rsid w:val="006D16EC"/>
    <w:rsid w:val="006D2EEF"/>
    <w:rsid w:val="006D6333"/>
    <w:rsid w:val="006E6201"/>
    <w:rsid w:val="006E7CF2"/>
    <w:rsid w:val="006F6177"/>
    <w:rsid w:val="00703AD7"/>
    <w:rsid w:val="00714F19"/>
    <w:rsid w:val="0072004F"/>
    <w:rsid w:val="007200EA"/>
    <w:rsid w:val="007311C1"/>
    <w:rsid w:val="00731974"/>
    <w:rsid w:val="007445E8"/>
    <w:rsid w:val="00744634"/>
    <w:rsid w:val="00744F62"/>
    <w:rsid w:val="00760193"/>
    <w:rsid w:val="00764613"/>
    <w:rsid w:val="0076467C"/>
    <w:rsid w:val="007708F8"/>
    <w:rsid w:val="00770B37"/>
    <w:rsid w:val="007761A7"/>
    <w:rsid w:val="007775F0"/>
    <w:rsid w:val="00783FAA"/>
    <w:rsid w:val="00784641"/>
    <w:rsid w:val="00791EA7"/>
    <w:rsid w:val="007920C2"/>
    <w:rsid w:val="00794108"/>
    <w:rsid w:val="007A05EC"/>
    <w:rsid w:val="007A0D2A"/>
    <w:rsid w:val="007A11E9"/>
    <w:rsid w:val="007A237D"/>
    <w:rsid w:val="007A30F2"/>
    <w:rsid w:val="007A5838"/>
    <w:rsid w:val="007B0162"/>
    <w:rsid w:val="007B425B"/>
    <w:rsid w:val="007D1FEA"/>
    <w:rsid w:val="007E684C"/>
    <w:rsid w:val="007E7064"/>
    <w:rsid w:val="008033FB"/>
    <w:rsid w:val="00804DB0"/>
    <w:rsid w:val="00810505"/>
    <w:rsid w:val="00834609"/>
    <w:rsid w:val="00842408"/>
    <w:rsid w:val="00843455"/>
    <w:rsid w:val="00846F63"/>
    <w:rsid w:val="008474A5"/>
    <w:rsid w:val="00854BE8"/>
    <w:rsid w:val="00860104"/>
    <w:rsid w:val="00862942"/>
    <w:rsid w:val="00862D6F"/>
    <w:rsid w:val="00872146"/>
    <w:rsid w:val="008728EB"/>
    <w:rsid w:val="008732F6"/>
    <w:rsid w:val="00875A7F"/>
    <w:rsid w:val="00891B99"/>
    <w:rsid w:val="00897199"/>
    <w:rsid w:val="008A212F"/>
    <w:rsid w:val="008B002D"/>
    <w:rsid w:val="008C55F1"/>
    <w:rsid w:val="008D2EC4"/>
    <w:rsid w:val="009045FE"/>
    <w:rsid w:val="009046A7"/>
    <w:rsid w:val="00905D14"/>
    <w:rsid w:val="0091153C"/>
    <w:rsid w:val="009129A5"/>
    <w:rsid w:val="00933D2B"/>
    <w:rsid w:val="00935364"/>
    <w:rsid w:val="009370EC"/>
    <w:rsid w:val="009408EA"/>
    <w:rsid w:val="009413F9"/>
    <w:rsid w:val="0097146B"/>
    <w:rsid w:val="009719F5"/>
    <w:rsid w:val="009832B8"/>
    <w:rsid w:val="009860D6"/>
    <w:rsid w:val="00986DC9"/>
    <w:rsid w:val="009928C6"/>
    <w:rsid w:val="009B54C2"/>
    <w:rsid w:val="009B7FF0"/>
    <w:rsid w:val="009C20F1"/>
    <w:rsid w:val="009D7587"/>
    <w:rsid w:val="009E212D"/>
    <w:rsid w:val="009F6936"/>
    <w:rsid w:val="009F7857"/>
    <w:rsid w:val="00A02C6B"/>
    <w:rsid w:val="00A07C7A"/>
    <w:rsid w:val="00A10685"/>
    <w:rsid w:val="00A149CC"/>
    <w:rsid w:val="00A216EF"/>
    <w:rsid w:val="00A267C4"/>
    <w:rsid w:val="00A270E0"/>
    <w:rsid w:val="00A318E0"/>
    <w:rsid w:val="00A54A7D"/>
    <w:rsid w:val="00A5615B"/>
    <w:rsid w:val="00A64252"/>
    <w:rsid w:val="00A81FB8"/>
    <w:rsid w:val="00A82272"/>
    <w:rsid w:val="00A9054C"/>
    <w:rsid w:val="00A91F36"/>
    <w:rsid w:val="00A96065"/>
    <w:rsid w:val="00AA1188"/>
    <w:rsid w:val="00AA153A"/>
    <w:rsid w:val="00AA5B7D"/>
    <w:rsid w:val="00AA6345"/>
    <w:rsid w:val="00AA7BD3"/>
    <w:rsid w:val="00AB27D7"/>
    <w:rsid w:val="00AD14B1"/>
    <w:rsid w:val="00AE0A86"/>
    <w:rsid w:val="00AE6AC8"/>
    <w:rsid w:val="00AF269C"/>
    <w:rsid w:val="00B07262"/>
    <w:rsid w:val="00B105FE"/>
    <w:rsid w:val="00B10D83"/>
    <w:rsid w:val="00B1175F"/>
    <w:rsid w:val="00B1241C"/>
    <w:rsid w:val="00B14A27"/>
    <w:rsid w:val="00B162B0"/>
    <w:rsid w:val="00B21D5D"/>
    <w:rsid w:val="00B26159"/>
    <w:rsid w:val="00B30676"/>
    <w:rsid w:val="00B42180"/>
    <w:rsid w:val="00B54B6E"/>
    <w:rsid w:val="00B62F2F"/>
    <w:rsid w:val="00B64527"/>
    <w:rsid w:val="00B71EAB"/>
    <w:rsid w:val="00B742D1"/>
    <w:rsid w:val="00B74658"/>
    <w:rsid w:val="00B8039A"/>
    <w:rsid w:val="00B82582"/>
    <w:rsid w:val="00B85507"/>
    <w:rsid w:val="00BB13BD"/>
    <w:rsid w:val="00BC2151"/>
    <w:rsid w:val="00BC3A05"/>
    <w:rsid w:val="00BD7BBF"/>
    <w:rsid w:val="00BF1C71"/>
    <w:rsid w:val="00BF2307"/>
    <w:rsid w:val="00C04CD3"/>
    <w:rsid w:val="00C12EF5"/>
    <w:rsid w:val="00C15B73"/>
    <w:rsid w:val="00C21124"/>
    <w:rsid w:val="00C26CA2"/>
    <w:rsid w:val="00C31EC6"/>
    <w:rsid w:val="00C32264"/>
    <w:rsid w:val="00C40970"/>
    <w:rsid w:val="00C4373D"/>
    <w:rsid w:val="00C44D90"/>
    <w:rsid w:val="00C4776E"/>
    <w:rsid w:val="00C524F0"/>
    <w:rsid w:val="00C534D7"/>
    <w:rsid w:val="00C578F8"/>
    <w:rsid w:val="00C81D9C"/>
    <w:rsid w:val="00C92C3D"/>
    <w:rsid w:val="00C938C5"/>
    <w:rsid w:val="00C95CAE"/>
    <w:rsid w:val="00C974DC"/>
    <w:rsid w:val="00CA2BFE"/>
    <w:rsid w:val="00CB62C9"/>
    <w:rsid w:val="00CD00CD"/>
    <w:rsid w:val="00CD1FDB"/>
    <w:rsid w:val="00CD331F"/>
    <w:rsid w:val="00CE178F"/>
    <w:rsid w:val="00CE3675"/>
    <w:rsid w:val="00CF4A32"/>
    <w:rsid w:val="00CF7FA0"/>
    <w:rsid w:val="00D01BEF"/>
    <w:rsid w:val="00D023F9"/>
    <w:rsid w:val="00D0264E"/>
    <w:rsid w:val="00D12539"/>
    <w:rsid w:val="00D155A5"/>
    <w:rsid w:val="00D22338"/>
    <w:rsid w:val="00D24226"/>
    <w:rsid w:val="00D24BCC"/>
    <w:rsid w:val="00D2784A"/>
    <w:rsid w:val="00D351FE"/>
    <w:rsid w:val="00D373EF"/>
    <w:rsid w:val="00D56CEC"/>
    <w:rsid w:val="00D6092A"/>
    <w:rsid w:val="00D66721"/>
    <w:rsid w:val="00D71AAF"/>
    <w:rsid w:val="00D757AE"/>
    <w:rsid w:val="00D76804"/>
    <w:rsid w:val="00D81339"/>
    <w:rsid w:val="00D83E6A"/>
    <w:rsid w:val="00D927C4"/>
    <w:rsid w:val="00DA15EC"/>
    <w:rsid w:val="00DA66DA"/>
    <w:rsid w:val="00DB3070"/>
    <w:rsid w:val="00DB63B0"/>
    <w:rsid w:val="00DC219B"/>
    <w:rsid w:val="00DC659D"/>
    <w:rsid w:val="00DE74D8"/>
    <w:rsid w:val="00DF3D18"/>
    <w:rsid w:val="00DF52D5"/>
    <w:rsid w:val="00E02B68"/>
    <w:rsid w:val="00E0304D"/>
    <w:rsid w:val="00E138C1"/>
    <w:rsid w:val="00E163B5"/>
    <w:rsid w:val="00E21974"/>
    <w:rsid w:val="00E227D5"/>
    <w:rsid w:val="00E22C3D"/>
    <w:rsid w:val="00E2415E"/>
    <w:rsid w:val="00E30F09"/>
    <w:rsid w:val="00E31FAC"/>
    <w:rsid w:val="00E35C58"/>
    <w:rsid w:val="00E40C2F"/>
    <w:rsid w:val="00E60E55"/>
    <w:rsid w:val="00E7026E"/>
    <w:rsid w:val="00E7050A"/>
    <w:rsid w:val="00E70AD4"/>
    <w:rsid w:val="00E724BA"/>
    <w:rsid w:val="00E94862"/>
    <w:rsid w:val="00EA0A61"/>
    <w:rsid w:val="00EB1BB4"/>
    <w:rsid w:val="00EB7733"/>
    <w:rsid w:val="00EC0BF6"/>
    <w:rsid w:val="00ED2E1E"/>
    <w:rsid w:val="00EE53DB"/>
    <w:rsid w:val="00EE6EE3"/>
    <w:rsid w:val="00EF4774"/>
    <w:rsid w:val="00EF4E84"/>
    <w:rsid w:val="00EF60F6"/>
    <w:rsid w:val="00F0045A"/>
    <w:rsid w:val="00F032FF"/>
    <w:rsid w:val="00F05F9A"/>
    <w:rsid w:val="00F0680B"/>
    <w:rsid w:val="00F07305"/>
    <w:rsid w:val="00F1385E"/>
    <w:rsid w:val="00F14C50"/>
    <w:rsid w:val="00F26667"/>
    <w:rsid w:val="00F4344A"/>
    <w:rsid w:val="00F46331"/>
    <w:rsid w:val="00F540F9"/>
    <w:rsid w:val="00F63601"/>
    <w:rsid w:val="00F63A3A"/>
    <w:rsid w:val="00F7603C"/>
    <w:rsid w:val="00F80B55"/>
    <w:rsid w:val="00F82034"/>
    <w:rsid w:val="00F931F0"/>
    <w:rsid w:val="00F948C6"/>
    <w:rsid w:val="00F953A5"/>
    <w:rsid w:val="00FA221F"/>
    <w:rsid w:val="00FA2C3B"/>
    <w:rsid w:val="00FB1C67"/>
    <w:rsid w:val="00FC376B"/>
    <w:rsid w:val="00FE4152"/>
    <w:rsid w:val="00FE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8F6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1"/>
    <w:pPr>
      <w:spacing w:after="120" w:line="240" w:lineRule="auto"/>
    </w:pPr>
    <w:rPr>
      <w:rFonts w:ascii="Arial" w:eastAsia="Times New Roman" w:hAnsi="Arial" w:cs="Times New Roman"/>
      <w:sz w:val="18"/>
    </w:rPr>
  </w:style>
  <w:style w:type="paragraph" w:styleId="Heading1">
    <w:name w:val="heading 1"/>
    <w:basedOn w:val="Normal"/>
    <w:next w:val="Normal"/>
    <w:link w:val="Heading1Char"/>
    <w:qFormat/>
    <w:rsid w:val="00784641"/>
    <w:pPr>
      <w:keepNext/>
      <w:autoSpaceDE w:val="0"/>
      <w:autoSpaceDN w:val="0"/>
      <w:adjustRightInd w:val="0"/>
      <w:spacing w:after="480"/>
      <w:outlineLvl w:val="0"/>
    </w:pPr>
    <w:rPr>
      <w:rFonts w:ascii="Times New Roman" w:hAnsi="Times New Roman"/>
      <w:b/>
      <w:bCs/>
      <w:color w:val="002776"/>
      <w:kern w:val="2"/>
      <w:sz w:val="40"/>
      <w:szCs w:val="18"/>
    </w:rPr>
  </w:style>
  <w:style w:type="paragraph" w:styleId="Heading2">
    <w:name w:val="heading 2"/>
    <w:basedOn w:val="Normal"/>
    <w:next w:val="Normal"/>
    <w:link w:val="Heading2Char"/>
    <w:qFormat/>
    <w:rsid w:val="00784641"/>
    <w:pPr>
      <w:keepNext/>
      <w:tabs>
        <w:tab w:val="left" w:pos="567"/>
      </w:tabs>
      <w:outlineLvl w:val="1"/>
    </w:pPr>
    <w:rPr>
      <w:rFonts w:ascii="Arial Bold" w:hAnsi="Arial Bold"/>
      <w:b/>
      <w:bCs/>
      <w:iCs/>
      <w:sz w:val="20"/>
      <w:szCs w:val="28"/>
    </w:rPr>
  </w:style>
  <w:style w:type="paragraph" w:styleId="Heading3">
    <w:name w:val="heading 3"/>
    <w:basedOn w:val="Normal"/>
    <w:next w:val="Normal"/>
    <w:link w:val="Heading3Char"/>
    <w:qFormat/>
    <w:rsid w:val="007846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41"/>
    <w:rPr>
      <w:rFonts w:ascii="Times New Roman" w:eastAsia="Times New Roman" w:hAnsi="Times New Roman" w:cs="Times New Roman"/>
      <w:b/>
      <w:bCs/>
      <w:color w:val="002776"/>
      <w:kern w:val="2"/>
      <w:sz w:val="40"/>
      <w:szCs w:val="18"/>
    </w:rPr>
  </w:style>
  <w:style w:type="character" w:customStyle="1" w:styleId="Heading2Char">
    <w:name w:val="Heading 2 Char"/>
    <w:basedOn w:val="DefaultParagraphFont"/>
    <w:link w:val="Heading2"/>
    <w:rsid w:val="00784641"/>
    <w:rPr>
      <w:rFonts w:ascii="Arial Bold" w:eastAsia="Times New Roman" w:hAnsi="Arial Bold" w:cs="Times New Roman"/>
      <w:b/>
      <w:bCs/>
      <w:iCs/>
      <w:sz w:val="20"/>
      <w:szCs w:val="28"/>
    </w:rPr>
  </w:style>
  <w:style w:type="character" w:customStyle="1" w:styleId="Heading3Char">
    <w:name w:val="Heading 3 Char"/>
    <w:basedOn w:val="DefaultParagraphFont"/>
    <w:link w:val="Heading3"/>
    <w:rsid w:val="00784641"/>
    <w:rPr>
      <w:rFonts w:ascii="Cambria" w:eastAsia="Times New Roman" w:hAnsi="Cambria" w:cs="Times New Roman"/>
      <w:b/>
      <w:bCs/>
      <w:sz w:val="26"/>
      <w:szCs w:val="26"/>
    </w:rPr>
  </w:style>
  <w:style w:type="paragraph" w:styleId="BalloonText">
    <w:name w:val="Balloon Text"/>
    <w:basedOn w:val="Normal"/>
    <w:link w:val="BalloonTextChar"/>
    <w:semiHidden/>
    <w:rsid w:val="00784641"/>
    <w:pPr>
      <w:spacing w:after="0"/>
    </w:pPr>
    <w:rPr>
      <w:rFonts w:ascii="Tahoma" w:hAnsi="Tahoma"/>
      <w:sz w:val="16"/>
      <w:szCs w:val="16"/>
    </w:rPr>
  </w:style>
  <w:style w:type="character" w:customStyle="1" w:styleId="BalloonTextChar">
    <w:name w:val="Balloon Text Char"/>
    <w:basedOn w:val="DefaultParagraphFont"/>
    <w:link w:val="BalloonText"/>
    <w:semiHidden/>
    <w:rsid w:val="00784641"/>
    <w:rPr>
      <w:rFonts w:ascii="Tahoma" w:eastAsia="Times New Roman" w:hAnsi="Tahoma" w:cs="Times New Roman"/>
      <w:sz w:val="16"/>
      <w:szCs w:val="16"/>
    </w:rPr>
  </w:style>
  <w:style w:type="paragraph" w:customStyle="1" w:styleId="Tindent">
    <w:name w:val="Tindent"/>
    <w:basedOn w:val="Normal"/>
    <w:rsid w:val="00784641"/>
    <w:pPr>
      <w:keepNext/>
      <w:tabs>
        <w:tab w:val="left" w:pos="851"/>
      </w:tabs>
      <w:spacing w:after="0"/>
      <w:ind w:left="709" w:hanging="142"/>
    </w:pPr>
    <w:rPr>
      <w:szCs w:val="20"/>
    </w:rPr>
  </w:style>
  <w:style w:type="paragraph" w:customStyle="1" w:styleId="Thead">
    <w:name w:val="Thead"/>
    <w:basedOn w:val="Tdec"/>
    <w:rsid w:val="00784641"/>
    <w:pPr>
      <w:keepNext/>
      <w:tabs>
        <w:tab w:val="clear" w:pos="993"/>
      </w:tabs>
      <w:ind w:right="86"/>
      <w:jc w:val="right"/>
    </w:pPr>
    <w:rPr>
      <w:rFonts w:ascii="Arial Bold" w:hAnsi="Arial Bold"/>
      <w:b/>
    </w:rPr>
  </w:style>
  <w:style w:type="paragraph" w:customStyle="1" w:styleId="Tdec">
    <w:name w:val="Tdec"/>
    <w:basedOn w:val="Normal"/>
    <w:rsid w:val="00784641"/>
    <w:pPr>
      <w:tabs>
        <w:tab w:val="decimal" w:pos="993"/>
      </w:tabs>
      <w:spacing w:after="0"/>
      <w:ind w:right="-6"/>
    </w:pPr>
    <w:rPr>
      <w:szCs w:val="20"/>
    </w:rPr>
  </w:style>
  <w:style w:type="paragraph" w:customStyle="1" w:styleId="S9">
    <w:name w:val="S9"/>
    <w:basedOn w:val="Normal"/>
    <w:rsid w:val="00784641"/>
    <w:pPr>
      <w:pBdr>
        <w:bottom w:val="single" w:sz="6" w:space="1" w:color="auto"/>
        <w:between w:val="single" w:sz="6" w:space="1" w:color="auto"/>
      </w:pBdr>
      <w:spacing w:after="113" w:line="57" w:lineRule="exact"/>
      <w:ind w:left="170" w:right="113"/>
    </w:pPr>
    <w:rPr>
      <w:rFonts w:ascii="Times New Roman" w:hAnsi="Times New Roman"/>
      <w:szCs w:val="20"/>
    </w:rPr>
  </w:style>
  <w:style w:type="paragraph" w:customStyle="1" w:styleId="Tnormal">
    <w:name w:val="Tnormal"/>
    <w:basedOn w:val="Normal"/>
    <w:rsid w:val="00784641"/>
    <w:pPr>
      <w:keepNext/>
      <w:tabs>
        <w:tab w:val="left" w:pos="284"/>
      </w:tabs>
      <w:spacing w:after="0"/>
    </w:pPr>
    <w:rPr>
      <w:szCs w:val="20"/>
    </w:rPr>
  </w:style>
  <w:style w:type="paragraph" w:customStyle="1" w:styleId="Rheading">
    <w:name w:val="Rheading"/>
    <w:basedOn w:val="Normal"/>
    <w:next w:val="Normal"/>
    <w:link w:val="RheadingChar"/>
    <w:rsid w:val="00784641"/>
    <w:pPr>
      <w:keepNext/>
      <w:spacing w:before="180"/>
    </w:pPr>
    <w:rPr>
      <w:rFonts w:ascii="Arial Bold" w:hAnsi="Arial Bold"/>
      <w:b/>
      <w:sz w:val="20"/>
      <w:szCs w:val="20"/>
    </w:rPr>
  </w:style>
  <w:style w:type="character" w:customStyle="1" w:styleId="RheadingChar">
    <w:name w:val="Rheading Char"/>
    <w:link w:val="Rheading"/>
    <w:locked/>
    <w:rsid w:val="00784641"/>
    <w:rPr>
      <w:rFonts w:ascii="Arial Bold" w:eastAsia="Times New Roman" w:hAnsi="Arial Bold" w:cs="Times New Roman"/>
      <w:b/>
      <w:sz w:val="20"/>
      <w:szCs w:val="20"/>
    </w:rPr>
  </w:style>
  <w:style w:type="paragraph" w:customStyle="1" w:styleId="ColorfulList-Accent11">
    <w:name w:val="Colorful List - Accent 11"/>
    <w:basedOn w:val="Normal"/>
    <w:qFormat/>
    <w:rsid w:val="00784641"/>
    <w:pPr>
      <w:ind w:left="720"/>
      <w:contextualSpacing/>
    </w:pPr>
    <w:rPr>
      <w:rFonts w:ascii="Cambria" w:hAnsi="Cambria"/>
    </w:rPr>
  </w:style>
  <w:style w:type="character" w:styleId="CommentReference">
    <w:name w:val="annotation reference"/>
    <w:semiHidden/>
    <w:rsid w:val="00784641"/>
    <w:rPr>
      <w:rFonts w:cs="Times New Roman"/>
      <w:sz w:val="16"/>
      <w:szCs w:val="16"/>
    </w:rPr>
  </w:style>
  <w:style w:type="paragraph" w:styleId="CommentText">
    <w:name w:val="annotation text"/>
    <w:basedOn w:val="Normal"/>
    <w:link w:val="CommentTextChar"/>
    <w:semiHidden/>
    <w:rsid w:val="00784641"/>
    <w:pPr>
      <w:spacing w:after="0"/>
    </w:pPr>
    <w:rPr>
      <w:sz w:val="20"/>
      <w:szCs w:val="20"/>
    </w:rPr>
  </w:style>
  <w:style w:type="character" w:customStyle="1" w:styleId="CommentTextChar">
    <w:name w:val="Comment Text Char"/>
    <w:basedOn w:val="DefaultParagraphFont"/>
    <w:link w:val="CommentText"/>
    <w:semiHidden/>
    <w:rsid w:val="00784641"/>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84641"/>
    <w:rPr>
      <w:b/>
      <w:bCs/>
    </w:rPr>
  </w:style>
  <w:style w:type="character" w:customStyle="1" w:styleId="CommentSubjectChar">
    <w:name w:val="Comment Subject Char"/>
    <w:basedOn w:val="CommentTextChar"/>
    <w:link w:val="CommentSubject"/>
    <w:semiHidden/>
    <w:rsid w:val="00784641"/>
    <w:rPr>
      <w:rFonts w:ascii="Arial" w:eastAsia="Times New Roman" w:hAnsi="Arial" w:cs="Times New Roman"/>
      <w:b/>
      <w:bCs/>
      <w:sz w:val="20"/>
      <w:szCs w:val="20"/>
    </w:rPr>
  </w:style>
  <w:style w:type="paragraph" w:styleId="NormalWeb">
    <w:name w:val="Normal (Web)"/>
    <w:basedOn w:val="Normal"/>
    <w:rsid w:val="00784641"/>
    <w:pPr>
      <w:spacing w:before="100" w:beforeAutospacing="1" w:after="100" w:afterAutospacing="1"/>
    </w:pPr>
    <w:rPr>
      <w:rFonts w:ascii="Times New Roman" w:hAnsi="Times New Roman"/>
      <w:sz w:val="24"/>
      <w:szCs w:val="24"/>
      <w:lang w:eastAsia="en-GB"/>
    </w:rPr>
  </w:style>
  <w:style w:type="paragraph" w:customStyle="1" w:styleId="indent10">
    <w:name w:val="indent10"/>
    <w:basedOn w:val="Normal"/>
    <w:rsid w:val="00784641"/>
    <w:pPr>
      <w:spacing w:before="100" w:beforeAutospacing="1" w:after="100" w:afterAutospacing="1"/>
    </w:pPr>
    <w:rPr>
      <w:rFonts w:ascii="Times New Roman" w:hAnsi="Times New Roman"/>
      <w:sz w:val="24"/>
      <w:szCs w:val="24"/>
      <w:lang w:eastAsia="en-GB"/>
    </w:rPr>
  </w:style>
  <w:style w:type="paragraph" w:styleId="BodyText">
    <w:name w:val="Body Text"/>
    <w:basedOn w:val="Normal"/>
    <w:link w:val="BodyTextChar"/>
    <w:rsid w:val="00784641"/>
    <w:pPr>
      <w:spacing w:after="0"/>
    </w:pPr>
    <w:rPr>
      <w:sz w:val="22"/>
    </w:rPr>
  </w:style>
  <w:style w:type="character" w:customStyle="1" w:styleId="BodyTextChar">
    <w:name w:val="Body Text Char"/>
    <w:basedOn w:val="DefaultParagraphFont"/>
    <w:link w:val="BodyText"/>
    <w:rsid w:val="00784641"/>
    <w:rPr>
      <w:rFonts w:ascii="Arial" w:eastAsia="Times New Roman" w:hAnsi="Arial" w:cs="Times New Roman"/>
    </w:rPr>
  </w:style>
  <w:style w:type="paragraph" w:styleId="Footer">
    <w:name w:val="footer"/>
    <w:basedOn w:val="Normal"/>
    <w:link w:val="FooterChar"/>
    <w:uiPriority w:val="99"/>
    <w:rsid w:val="00784641"/>
    <w:pPr>
      <w:tabs>
        <w:tab w:val="center" w:pos="4153"/>
        <w:tab w:val="right" w:pos="8306"/>
      </w:tabs>
      <w:spacing w:after="0"/>
    </w:pPr>
    <w:rPr>
      <w:sz w:val="22"/>
    </w:rPr>
  </w:style>
  <w:style w:type="character" w:customStyle="1" w:styleId="FooterChar">
    <w:name w:val="Footer Char"/>
    <w:basedOn w:val="DefaultParagraphFont"/>
    <w:link w:val="Footer"/>
    <w:uiPriority w:val="99"/>
    <w:rsid w:val="00784641"/>
    <w:rPr>
      <w:rFonts w:ascii="Arial" w:eastAsia="Times New Roman" w:hAnsi="Arial" w:cs="Times New Roman"/>
    </w:rPr>
  </w:style>
  <w:style w:type="paragraph" w:customStyle="1" w:styleId="TableFigure">
    <w:name w:val="Table Figure"/>
    <w:basedOn w:val="Normal"/>
    <w:rsid w:val="00784641"/>
    <w:pPr>
      <w:keepLines/>
      <w:spacing w:before="40" w:after="40"/>
    </w:pPr>
    <w:rPr>
      <w:rFonts w:ascii="Times New Roman" w:hAnsi="Times New Roman"/>
      <w:kern w:val="28"/>
      <w:sz w:val="20"/>
      <w:szCs w:val="20"/>
    </w:rPr>
  </w:style>
  <w:style w:type="paragraph" w:customStyle="1" w:styleId="MAJOR">
    <w:name w:val="MAJOR"/>
    <w:rsid w:val="00784641"/>
    <w:pPr>
      <w:widowControl w:val="0"/>
      <w:tabs>
        <w:tab w:val="left" w:pos="-720"/>
      </w:tabs>
      <w:suppressAutoHyphens/>
      <w:spacing w:after="0" w:line="240" w:lineRule="auto"/>
    </w:pPr>
    <w:rPr>
      <w:rFonts w:ascii="Times New Roman" w:eastAsia="Times New Roman" w:hAnsi="Times New Roman" w:cs="Times New Roman"/>
      <w:b/>
      <w:sz w:val="28"/>
      <w:szCs w:val="20"/>
      <w:lang w:val="en-US"/>
    </w:rPr>
  </w:style>
  <w:style w:type="paragraph" w:styleId="FootnoteText">
    <w:name w:val="footnote text"/>
    <w:basedOn w:val="Normal"/>
    <w:link w:val="FootnoteTextChar"/>
    <w:semiHidden/>
    <w:rsid w:val="00784641"/>
    <w:pPr>
      <w:spacing w:after="0" w:line="200" w:lineRule="exact"/>
    </w:pPr>
    <w:rPr>
      <w:sz w:val="20"/>
      <w:szCs w:val="20"/>
    </w:rPr>
  </w:style>
  <w:style w:type="character" w:customStyle="1" w:styleId="FootnoteTextChar">
    <w:name w:val="Footnote Text Char"/>
    <w:basedOn w:val="DefaultParagraphFont"/>
    <w:link w:val="FootnoteText"/>
    <w:semiHidden/>
    <w:rsid w:val="00784641"/>
    <w:rPr>
      <w:rFonts w:ascii="Arial" w:eastAsia="Times New Roman" w:hAnsi="Arial" w:cs="Times New Roman"/>
      <w:sz w:val="20"/>
      <w:szCs w:val="20"/>
    </w:rPr>
  </w:style>
  <w:style w:type="paragraph" w:customStyle="1" w:styleId="MINOR">
    <w:name w:val="MINOR"/>
    <w:rsid w:val="00784641"/>
    <w:pPr>
      <w:widowControl w:val="0"/>
      <w:tabs>
        <w:tab w:val="left" w:pos="-720"/>
      </w:tabs>
      <w:suppressAutoHyphens/>
      <w:spacing w:after="0" w:line="240" w:lineRule="auto"/>
    </w:pPr>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784641"/>
    <w:pPr>
      <w:autoSpaceDE w:val="0"/>
      <w:autoSpaceDN w:val="0"/>
      <w:adjustRightInd w:val="0"/>
      <w:spacing w:after="0"/>
      <w:ind w:left="360"/>
    </w:pPr>
    <w:rPr>
      <w:sz w:val="22"/>
    </w:rPr>
  </w:style>
  <w:style w:type="character" w:customStyle="1" w:styleId="BodyTextIndentChar">
    <w:name w:val="Body Text Indent Char"/>
    <w:basedOn w:val="DefaultParagraphFont"/>
    <w:link w:val="BodyTextIndent"/>
    <w:rsid w:val="00784641"/>
    <w:rPr>
      <w:rFonts w:ascii="Arial" w:eastAsia="Times New Roman" w:hAnsi="Arial" w:cs="Times New Roman"/>
    </w:rPr>
  </w:style>
  <w:style w:type="paragraph" w:styleId="DocumentMap">
    <w:name w:val="Document Map"/>
    <w:basedOn w:val="Normal"/>
    <w:link w:val="DocumentMapChar"/>
    <w:semiHidden/>
    <w:rsid w:val="00784641"/>
    <w:pPr>
      <w:shd w:val="clear" w:color="auto" w:fill="000080"/>
      <w:spacing w:after="0"/>
    </w:pPr>
    <w:rPr>
      <w:rFonts w:ascii="Times New Roman" w:hAnsi="Times New Roman"/>
      <w:sz w:val="2"/>
      <w:szCs w:val="20"/>
    </w:rPr>
  </w:style>
  <w:style w:type="character" w:customStyle="1" w:styleId="DocumentMapChar">
    <w:name w:val="Document Map Char"/>
    <w:basedOn w:val="DefaultParagraphFont"/>
    <w:link w:val="DocumentMap"/>
    <w:semiHidden/>
    <w:rsid w:val="00784641"/>
    <w:rPr>
      <w:rFonts w:ascii="Times New Roman" w:eastAsia="Times New Roman" w:hAnsi="Times New Roman" w:cs="Times New Roman"/>
      <w:sz w:val="2"/>
      <w:szCs w:val="20"/>
      <w:shd w:val="clear" w:color="auto" w:fill="000080"/>
    </w:rPr>
  </w:style>
  <w:style w:type="paragraph" w:customStyle="1" w:styleId="SECTION">
    <w:name w:val="SECTION"/>
    <w:rsid w:val="00784641"/>
    <w:pPr>
      <w:widowControl w:val="0"/>
      <w:tabs>
        <w:tab w:val="left" w:pos="-720"/>
      </w:tabs>
      <w:suppressAutoHyphens/>
      <w:spacing w:after="0" w:line="240" w:lineRule="auto"/>
    </w:pPr>
    <w:rPr>
      <w:rFonts w:ascii="Times New Roman" w:eastAsia="Times New Roman" w:hAnsi="Times New Roman" w:cs="Times New Roman"/>
      <w:b/>
      <w:sz w:val="34"/>
      <w:szCs w:val="20"/>
      <w:lang w:val="en-US"/>
    </w:rPr>
  </w:style>
  <w:style w:type="paragraph" w:customStyle="1" w:styleId="StyleMINORArial9ptNotBold">
    <w:name w:val="Style MINOR + Arial 9 pt Not Bold"/>
    <w:basedOn w:val="MINOR"/>
    <w:rsid w:val="00784641"/>
    <w:pPr>
      <w:jc w:val="both"/>
    </w:pPr>
    <w:rPr>
      <w:rFonts w:ascii="Arial" w:hAnsi="Arial"/>
      <w:b w:val="0"/>
      <w:sz w:val="18"/>
    </w:rPr>
  </w:style>
  <w:style w:type="paragraph" w:customStyle="1" w:styleId="B0">
    <w:name w:val="B0"/>
    <w:basedOn w:val="Normal"/>
    <w:rsid w:val="00784641"/>
    <w:pPr>
      <w:spacing w:after="113" w:line="57" w:lineRule="exact"/>
    </w:pPr>
    <w:rPr>
      <w:rFonts w:ascii="Times New Roman" w:hAnsi="Times New Roman"/>
      <w:sz w:val="20"/>
      <w:szCs w:val="20"/>
    </w:rPr>
  </w:style>
  <w:style w:type="paragraph" w:customStyle="1" w:styleId="D9">
    <w:name w:val="D9"/>
    <w:basedOn w:val="S9"/>
    <w:rsid w:val="00784641"/>
    <w:pPr>
      <w:pBdr>
        <w:bottom w:val="double" w:sz="6" w:space="1" w:color="auto"/>
        <w:between w:val="double" w:sz="6" w:space="1" w:color="auto"/>
      </w:pBdr>
    </w:pPr>
  </w:style>
  <w:style w:type="paragraph" w:styleId="NormalIndent">
    <w:name w:val="Normal Indent"/>
    <w:aliases w:val="Normal Indent Char1,Normal Indent Char Char,Normal Indent Char1 Char Char,Normal Indent Char Char Char Char,Normal Indent Char1 Char Char Char ChNormal indent"/>
    <w:basedOn w:val="Normal"/>
    <w:link w:val="NormalIndentChar"/>
    <w:rsid w:val="00784641"/>
    <w:pPr>
      <w:ind w:left="567"/>
    </w:pPr>
    <w:rPr>
      <w:szCs w:val="20"/>
    </w:rPr>
  </w:style>
  <w:style w:type="character" w:customStyle="1" w:styleId="NormalIndentChar">
    <w:name w:val="Normal Indent Char"/>
    <w:aliases w:val="Normal Indent Char1 Char1,Normal Indent Char Char Char2,Normal Indent Char1 Char Char Char1,Normal Indent Char Char Char Char Char1,Normal Indent Char1 Char Char Char ChNormal indent Char"/>
    <w:link w:val="NormalIndent"/>
    <w:locked/>
    <w:rsid w:val="00784641"/>
    <w:rPr>
      <w:rFonts w:ascii="Arial" w:eastAsia="Times New Roman" w:hAnsi="Arial" w:cs="Times New Roman"/>
      <w:sz w:val="18"/>
      <w:szCs w:val="20"/>
    </w:rPr>
  </w:style>
  <w:style w:type="paragraph" w:customStyle="1" w:styleId="Zspace">
    <w:name w:val="Zspace"/>
    <w:basedOn w:val="B0"/>
    <w:rsid w:val="00784641"/>
    <w:pPr>
      <w:spacing w:line="6" w:lineRule="exact"/>
    </w:pPr>
  </w:style>
  <w:style w:type="paragraph" w:customStyle="1" w:styleId="B1">
    <w:name w:val="B1"/>
    <w:basedOn w:val="MAJOR"/>
    <w:rsid w:val="00784641"/>
    <w:pPr>
      <w:numPr>
        <w:numId w:val="3"/>
      </w:numPr>
      <w:tabs>
        <w:tab w:val="clear" w:pos="-720"/>
      </w:tabs>
      <w:spacing w:after="120"/>
    </w:pPr>
    <w:rPr>
      <w:rFonts w:ascii="Arial" w:hAnsi="Arial" w:cs="Arial"/>
      <w:b w:val="0"/>
      <w:sz w:val="18"/>
      <w:szCs w:val="18"/>
    </w:rPr>
  </w:style>
  <w:style w:type="paragraph" w:customStyle="1" w:styleId="StyleB1">
    <w:name w:val="Style B1 +"/>
    <w:basedOn w:val="B1"/>
    <w:rsid w:val="00784641"/>
    <w:rPr>
      <w:rFonts w:ascii="Times New Roman" w:hAnsi="Times New Roman"/>
      <w:kern w:val="2"/>
      <w:sz w:val="20"/>
    </w:rPr>
  </w:style>
  <w:style w:type="paragraph" w:styleId="ListBullet">
    <w:name w:val="List Bullet"/>
    <w:basedOn w:val="Normal"/>
    <w:rsid w:val="00784641"/>
    <w:pPr>
      <w:numPr>
        <w:numId w:val="2"/>
      </w:numPr>
      <w:ind w:left="360" w:hanging="360"/>
    </w:pPr>
  </w:style>
  <w:style w:type="paragraph" w:customStyle="1" w:styleId="contd">
    <w:name w:val="contd"/>
    <w:basedOn w:val="Normal"/>
    <w:rsid w:val="00784641"/>
    <w:pPr>
      <w:spacing w:after="360"/>
    </w:pPr>
    <w:rPr>
      <w:rFonts w:ascii="Times New Roman" w:hAnsi="Times New Roman"/>
      <w:b/>
      <w:color w:val="002776"/>
      <w:sz w:val="48"/>
    </w:rPr>
  </w:style>
  <w:style w:type="paragraph" w:customStyle="1" w:styleId="NoSpace">
    <w:name w:val="No Space"/>
    <w:basedOn w:val="Normal"/>
    <w:rsid w:val="00784641"/>
    <w:pPr>
      <w:spacing w:after="0"/>
    </w:pPr>
    <w:rPr>
      <w:rFonts w:ascii="Times New Roman" w:hAnsi="Times New Roman"/>
      <w:szCs w:val="20"/>
    </w:rPr>
  </w:style>
  <w:style w:type="paragraph" w:styleId="TOC1">
    <w:name w:val="toc 1"/>
    <w:basedOn w:val="Normal"/>
    <w:next w:val="Normal"/>
    <w:autoRedefine/>
    <w:uiPriority w:val="39"/>
    <w:rsid w:val="00784641"/>
    <w:pPr>
      <w:tabs>
        <w:tab w:val="right" w:leader="dot" w:pos="9458"/>
      </w:tabs>
      <w:spacing w:after="240"/>
    </w:pPr>
    <w:rPr>
      <w:sz w:val="20"/>
    </w:rPr>
  </w:style>
  <w:style w:type="paragraph" w:styleId="Header">
    <w:name w:val="header"/>
    <w:basedOn w:val="Normal"/>
    <w:link w:val="HeaderChar"/>
    <w:uiPriority w:val="99"/>
    <w:rsid w:val="00784641"/>
    <w:pPr>
      <w:tabs>
        <w:tab w:val="center" w:pos="4153"/>
        <w:tab w:val="right" w:pos="8306"/>
      </w:tabs>
    </w:pPr>
    <w:rPr>
      <w:sz w:val="22"/>
    </w:rPr>
  </w:style>
  <w:style w:type="character" w:customStyle="1" w:styleId="HeaderChar">
    <w:name w:val="Header Char"/>
    <w:basedOn w:val="DefaultParagraphFont"/>
    <w:link w:val="Header"/>
    <w:uiPriority w:val="99"/>
    <w:rsid w:val="00784641"/>
    <w:rPr>
      <w:rFonts w:ascii="Arial" w:eastAsia="Times New Roman" w:hAnsi="Arial" w:cs="Times New Roman"/>
    </w:rPr>
  </w:style>
  <w:style w:type="character" w:styleId="PageNumber">
    <w:name w:val="page number"/>
    <w:rsid w:val="00784641"/>
    <w:rPr>
      <w:rFonts w:cs="Times New Roman"/>
    </w:rPr>
  </w:style>
  <w:style w:type="numbering" w:customStyle="1" w:styleId="StyleBulleted6ptCustomColorRGB92993">
    <w:name w:val="Style Bulleted 6 pt Custom Color(RGB(92993))"/>
    <w:rsid w:val="00784641"/>
    <w:pPr>
      <w:numPr>
        <w:numId w:val="1"/>
      </w:numPr>
    </w:pPr>
  </w:style>
  <w:style w:type="character" w:customStyle="1" w:styleId="apple-style-span">
    <w:name w:val="apple-style-span"/>
    <w:rsid w:val="00784641"/>
    <w:rPr>
      <w:rFonts w:cs="Times New Roman"/>
    </w:rPr>
  </w:style>
  <w:style w:type="character" w:customStyle="1" w:styleId="NormalIndentChar1Char">
    <w:name w:val="Normal Indent Char1 Char"/>
    <w:aliases w:val="Normal Indent Char Char Char,Normal Indent Char1 Char Char Char,Normal Indent Char Char Char Char Char,Normal Indent Char1 Char Char Char Char Char,Normal Indent Char Char Char Char Char Char Char,Normal Indent Char Char Char1"/>
    <w:rsid w:val="00784641"/>
    <w:rPr>
      <w:rFonts w:ascii="Times New Roman" w:hAnsi="Times New Roman"/>
      <w:lang w:val="en-GB" w:eastAsia="en-US" w:bidi="ar-SA"/>
    </w:rPr>
  </w:style>
  <w:style w:type="table" w:styleId="TableGrid">
    <w:name w:val="Table Grid"/>
    <w:basedOn w:val="TableNormal"/>
    <w:rsid w:val="00784641"/>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
    <w:qFormat/>
    <w:rsid w:val="00784641"/>
    <w:rPr>
      <w:b/>
    </w:rPr>
  </w:style>
  <w:style w:type="paragraph" w:customStyle="1" w:styleId="s7">
    <w:name w:val="s7"/>
    <w:basedOn w:val="S9"/>
    <w:qFormat/>
    <w:rsid w:val="00784641"/>
    <w:pPr>
      <w:ind w:left="567"/>
    </w:pPr>
    <w:rPr>
      <w:b/>
    </w:rPr>
  </w:style>
  <w:style w:type="paragraph" w:customStyle="1" w:styleId="d7">
    <w:name w:val="d7"/>
    <w:basedOn w:val="D9"/>
    <w:qFormat/>
    <w:rsid w:val="00784641"/>
    <w:pPr>
      <w:ind w:left="567"/>
    </w:pPr>
    <w:rPr>
      <w:b/>
    </w:rPr>
  </w:style>
  <w:style w:type="paragraph" w:customStyle="1" w:styleId="tnote">
    <w:name w:val="tnote"/>
    <w:basedOn w:val="Tdec"/>
    <w:qFormat/>
    <w:rsid w:val="00784641"/>
    <w:pPr>
      <w:tabs>
        <w:tab w:val="clear" w:pos="993"/>
      </w:tabs>
    </w:pPr>
    <w:rPr>
      <w:szCs w:val="18"/>
    </w:rPr>
  </w:style>
  <w:style w:type="paragraph" w:customStyle="1" w:styleId="c1">
    <w:name w:val="c1"/>
    <w:basedOn w:val="Normal"/>
    <w:rsid w:val="00784641"/>
    <w:pPr>
      <w:spacing w:before="100" w:beforeAutospacing="1" w:after="100" w:afterAutospacing="1"/>
    </w:pPr>
    <w:rPr>
      <w:rFonts w:ascii="Times New Roman" w:eastAsia="Calibri" w:hAnsi="Times New Roman"/>
      <w:sz w:val="24"/>
      <w:szCs w:val="24"/>
      <w:lang w:val="en-US"/>
    </w:rPr>
  </w:style>
  <w:style w:type="paragraph" w:customStyle="1" w:styleId="NoSpacing1">
    <w:name w:val="No Spacing1"/>
    <w:link w:val="NoSpacingChar"/>
    <w:uiPriority w:val="1"/>
    <w:qFormat/>
    <w:rsid w:val="00784641"/>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784641"/>
    <w:rPr>
      <w:rFonts w:ascii="Calibri" w:eastAsia="Times New Roman" w:hAnsi="Calibri" w:cs="Times New Roman"/>
      <w:lang w:val="en-US"/>
    </w:rPr>
  </w:style>
  <w:style w:type="paragraph" w:customStyle="1" w:styleId="ColorfulShading-Accent11">
    <w:name w:val="Colorful Shading - Accent 11"/>
    <w:hidden/>
    <w:uiPriority w:val="99"/>
    <w:semiHidden/>
    <w:rsid w:val="00784641"/>
    <w:pPr>
      <w:spacing w:after="0" w:line="240" w:lineRule="auto"/>
    </w:pPr>
    <w:rPr>
      <w:rFonts w:ascii="Arial" w:eastAsia="Times New Roman" w:hAnsi="Arial" w:cs="Times New Roman"/>
      <w:sz w:val="18"/>
    </w:rPr>
  </w:style>
  <w:style w:type="paragraph" w:styleId="Revision">
    <w:name w:val="Revision"/>
    <w:hidden/>
    <w:uiPriority w:val="99"/>
    <w:semiHidden/>
    <w:rsid w:val="00784641"/>
    <w:pPr>
      <w:spacing w:after="0" w:line="240" w:lineRule="auto"/>
    </w:pPr>
    <w:rPr>
      <w:rFonts w:ascii="Arial" w:eastAsia="Times New Roman" w:hAnsi="Arial" w:cs="Times New Roman"/>
      <w:noProof/>
      <w:sz w:val="18"/>
    </w:rPr>
  </w:style>
  <w:style w:type="paragraph" w:styleId="ListParagraph">
    <w:name w:val="List Paragraph"/>
    <w:basedOn w:val="Normal"/>
    <w:uiPriority w:val="34"/>
    <w:qFormat/>
    <w:rsid w:val="00784641"/>
    <w:pPr>
      <w:ind w:left="720"/>
      <w:contextualSpacing/>
    </w:pPr>
  </w:style>
  <w:style w:type="paragraph" w:customStyle="1" w:styleId="bw">
    <w:name w:val="bw"/>
    <w:basedOn w:val="Normal"/>
    <w:rsid w:val="00784641"/>
    <w:pPr>
      <w:spacing w:before="100" w:beforeAutospacing="1" w:after="100" w:afterAutospacing="1"/>
    </w:pPr>
    <w:rPr>
      <w:rFonts w:ascii="Times New Roman" w:hAnsi="Times New Roman"/>
      <w:sz w:val="24"/>
      <w:szCs w:val="24"/>
      <w:lang w:eastAsia="en-GB"/>
    </w:rPr>
  </w:style>
  <w:style w:type="character" w:customStyle="1" w:styleId="bf">
    <w:name w:val="bf"/>
    <w:basedOn w:val="DefaultParagraphFont"/>
    <w:rsid w:val="00784641"/>
  </w:style>
  <w:style w:type="paragraph" w:customStyle="1" w:styleId="a">
    <w:name w:val="a"/>
    <w:basedOn w:val="Normal"/>
    <w:rsid w:val="00784641"/>
    <w:pPr>
      <w:spacing w:before="100" w:beforeAutospacing="1" w:after="100" w:afterAutospacing="1"/>
    </w:pPr>
    <w:rPr>
      <w:rFonts w:ascii="Times New Roman" w:hAnsi="Times New Roman"/>
      <w:sz w:val="24"/>
      <w:szCs w:val="24"/>
      <w:lang w:eastAsia="en-GB"/>
    </w:rPr>
  </w:style>
  <w:style w:type="paragraph" w:customStyle="1" w:styleId="qk">
    <w:name w:val="qk"/>
    <w:basedOn w:val="Normal"/>
    <w:rsid w:val="001D7909"/>
    <w:pPr>
      <w:spacing w:before="100" w:beforeAutospacing="1" w:after="100" w:afterAutospacing="1"/>
    </w:pPr>
    <w:rPr>
      <w:rFonts w:ascii="Times New Roman" w:hAnsi="Times New Roman"/>
      <w:sz w:val="24"/>
      <w:szCs w:val="24"/>
      <w:lang w:eastAsia="en-GB"/>
    </w:rPr>
  </w:style>
  <w:style w:type="character" w:customStyle="1" w:styleId="nw">
    <w:name w:val="nw"/>
    <w:basedOn w:val="DefaultParagraphFont"/>
    <w:rsid w:val="001D7909"/>
  </w:style>
  <w:style w:type="paragraph" w:customStyle="1" w:styleId="qg">
    <w:name w:val="qg"/>
    <w:basedOn w:val="Normal"/>
    <w:rsid w:val="001D7909"/>
    <w:pPr>
      <w:spacing w:before="100" w:beforeAutospacing="1" w:after="100" w:afterAutospacing="1"/>
    </w:pPr>
    <w:rPr>
      <w:rFonts w:ascii="Times New Roman" w:hAnsi="Times New Roman"/>
      <w:sz w:val="24"/>
      <w:szCs w:val="24"/>
      <w:lang w:eastAsia="en-GB"/>
    </w:rPr>
  </w:style>
  <w:style w:type="character" w:customStyle="1" w:styleId="oa">
    <w:name w:val="oa"/>
    <w:basedOn w:val="DefaultParagraphFont"/>
    <w:rsid w:val="001D7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1"/>
    <w:pPr>
      <w:spacing w:after="120" w:line="240" w:lineRule="auto"/>
    </w:pPr>
    <w:rPr>
      <w:rFonts w:ascii="Arial" w:eastAsia="Times New Roman" w:hAnsi="Arial" w:cs="Times New Roman"/>
      <w:sz w:val="18"/>
    </w:rPr>
  </w:style>
  <w:style w:type="paragraph" w:styleId="Heading1">
    <w:name w:val="heading 1"/>
    <w:basedOn w:val="Normal"/>
    <w:next w:val="Normal"/>
    <w:link w:val="Heading1Char"/>
    <w:qFormat/>
    <w:rsid w:val="00784641"/>
    <w:pPr>
      <w:keepNext/>
      <w:autoSpaceDE w:val="0"/>
      <w:autoSpaceDN w:val="0"/>
      <w:adjustRightInd w:val="0"/>
      <w:spacing w:after="480"/>
      <w:outlineLvl w:val="0"/>
    </w:pPr>
    <w:rPr>
      <w:rFonts w:ascii="Times New Roman" w:hAnsi="Times New Roman"/>
      <w:b/>
      <w:bCs/>
      <w:color w:val="002776"/>
      <w:kern w:val="2"/>
      <w:sz w:val="40"/>
      <w:szCs w:val="18"/>
    </w:rPr>
  </w:style>
  <w:style w:type="paragraph" w:styleId="Heading2">
    <w:name w:val="heading 2"/>
    <w:basedOn w:val="Normal"/>
    <w:next w:val="Normal"/>
    <w:link w:val="Heading2Char"/>
    <w:qFormat/>
    <w:rsid w:val="00784641"/>
    <w:pPr>
      <w:keepNext/>
      <w:tabs>
        <w:tab w:val="left" w:pos="567"/>
      </w:tabs>
      <w:outlineLvl w:val="1"/>
    </w:pPr>
    <w:rPr>
      <w:rFonts w:ascii="Arial Bold" w:hAnsi="Arial Bold"/>
      <w:b/>
      <w:bCs/>
      <w:iCs/>
      <w:sz w:val="20"/>
      <w:szCs w:val="28"/>
    </w:rPr>
  </w:style>
  <w:style w:type="paragraph" w:styleId="Heading3">
    <w:name w:val="heading 3"/>
    <w:basedOn w:val="Normal"/>
    <w:next w:val="Normal"/>
    <w:link w:val="Heading3Char"/>
    <w:qFormat/>
    <w:rsid w:val="007846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41"/>
    <w:rPr>
      <w:rFonts w:ascii="Times New Roman" w:eastAsia="Times New Roman" w:hAnsi="Times New Roman" w:cs="Times New Roman"/>
      <w:b/>
      <w:bCs/>
      <w:color w:val="002776"/>
      <w:kern w:val="2"/>
      <w:sz w:val="40"/>
      <w:szCs w:val="18"/>
    </w:rPr>
  </w:style>
  <w:style w:type="character" w:customStyle="1" w:styleId="Heading2Char">
    <w:name w:val="Heading 2 Char"/>
    <w:basedOn w:val="DefaultParagraphFont"/>
    <w:link w:val="Heading2"/>
    <w:rsid w:val="00784641"/>
    <w:rPr>
      <w:rFonts w:ascii="Arial Bold" w:eastAsia="Times New Roman" w:hAnsi="Arial Bold" w:cs="Times New Roman"/>
      <w:b/>
      <w:bCs/>
      <w:iCs/>
      <w:sz w:val="20"/>
      <w:szCs w:val="28"/>
    </w:rPr>
  </w:style>
  <w:style w:type="character" w:customStyle="1" w:styleId="Heading3Char">
    <w:name w:val="Heading 3 Char"/>
    <w:basedOn w:val="DefaultParagraphFont"/>
    <w:link w:val="Heading3"/>
    <w:rsid w:val="00784641"/>
    <w:rPr>
      <w:rFonts w:ascii="Cambria" w:eastAsia="Times New Roman" w:hAnsi="Cambria" w:cs="Times New Roman"/>
      <w:b/>
      <w:bCs/>
      <w:sz w:val="26"/>
      <w:szCs w:val="26"/>
    </w:rPr>
  </w:style>
  <w:style w:type="paragraph" w:styleId="BalloonText">
    <w:name w:val="Balloon Text"/>
    <w:basedOn w:val="Normal"/>
    <w:link w:val="BalloonTextChar"/>
    <w:semiHidden/>
    <w:rsid w:val="00784641"/>
    <w:pPr>
      <w:spacing w:after="0"/>
    </w:pPr>
    <w:rPr>
      <w:rFonts w:ascii="Tahoma" w:hAnsi="Tahoma"/>
      <w:sz w:val="16"/>
      <w:szCs w:val="16"/>
    </w:rPr>
  </w:style>
  <w:style w:type="character" w:customStyle="1" w:styleId="BalloonTextChar">
    <w:name w:val="Balloon Text Char"/>
    <w:basedOn w:val="DefaultParagraphFont"/>
    <w:link w:val="BalloonText"/>
    <w:semiHidden/>
    <w:rsid w:val="00784641"/>
    <w:rPr>
      <w:rFonts w:ascii="Tahoma" w:eastAsia="Times New Roman" w:hAnsi="Tahoma" w:cs="Times New Roman"/>
      <w:sz w:val="16"/>
      <w:szCs w:val="16"/>
    </w:rPr>
  </w:style>
  <w:style w:type="paragraph" w:customStyle="1" w:styleId="Tindent">
    <w:name w:val="Tindent"/>
    <w:basedOn w:val="Normal"/>
    <w:rsid w:val="00784641"/>
    <w:pPr>
      <w:keepNext/>
      <w:tabs>
        <w:tab w:val="left" w:pos="851"/>
      </w:tabs>
      <w:spacing w:after="0"/>
      <w:ind w:left="709" w:hanging="142"/>
    </w:pPr>
    <w:rPr>
      <w:szCs w:val="20"/>
    </w:rPr>
  </w:style>
  <w:style w:type="paragraph" w:customStyle="1" w:styleId="Thead">
    <w:name w:val="Thead"/>
    <w:basedOn w:val="Tdec"/>
    <w:rsid w:val="00784641"/>
    <w:pPr>
      <w:keepNext/>
      <w:tabs>
        <w:tab w:val="clear" w:pos="993"/>
      </w:tabs>
      <w:ind w:right="86"/>
      <w:jc w:val="right"/>
    </w:pPr>
    <w:rPr>
      <w:rFonts w:ascii="Arial Bold" w:hAnsi="Arial Bold"/>
      <w:b/>
    </w:rPr>
  </w:style>
  <w:style w:type="paragraph" w:customStyle="1" w:styleId="Tdec">
    <w:name w:val="Tdec"/>
    <w:basedOn w:val="Normal"/>
    <w:rsid w:val="00784641"/>
    <w:pPr>
      <w:tabs>
        <w:tab w:val="decimal" w:pos="993"/>
      </w:tabs>
      <w:spacing w:after="0"/>
      <w:ind w:right="-6"/>
    </w:pPr>
    <w:rPr>
      <w:szCs w:val="20"/>
    </w:rPr>
  </w:style>
  <w:style w:type="paragraph" w:customStyle="1" w:styleId="S9">
    <w:name w:val="S9"/>
    <w:basedOn w:val="Normal"/>
    <w:rsid w:val="00784641"/>
    <w:pPr>
      <w:pBdr>
        <w:bottom w:val="single" w:sz="6" w:space="1" w:color="auto"/>
        <w:between w:val="single" w:sz="6" w:space="1" w:color="auto"/>
      </w:pBdr>
      <w:spacing w:after="113" w:line="57" w:lineRule="exact"/>
      <w:ind w:left="170" w:right="113"/>
    </w:pPr>
    <w:rPr>
      <w:rFonts w:ascii="Times New Roman" w:hAnsi="Times New Roman"/>
      <w:szCs w:val="20"/>
    </w:rPr>
  </w:style>
  <w:style w:type="paragraph" w:customStyle="1" w:styleId="Tnormal">
    <w:name w:val="Tnormal"/>
    <w:basedOn w:val="Normal"/>
    <w:rsid w:val="00784641"/>
    <w:pPr>
      <w:keepNext/>
      <w:tabs>
        <w:tab w:val="left" w:pos="284"/>
      </w:tabs>
      <w:spacing w:after="0"/>
    </w:pPr>
    <w:rPr>
      <w:szCs w:val="20"/>
    </w:rPr>
  </w:style>
  <w:style w:type="paragraph" w:customStyle="1" w:styleId="Rheading">
    <w:name w:val="Rheading"/>
    <w:basedOn w:val="Normal"/>
    <w:next w:val="Normal"/>
    <w:link w:val="RheadingChar"/>
    <w:rsid w:val="00784641"/>
    <w:pPr>
      <w:keepNext/>
      <w:spacing w:before="180"/>
    </w:pPr>
    <w:rPr>
      <w:rFonts w:ascii="Arial Bold" w:hAnsi="Arial Bold"/>
      <w:b/>
      <w:sz w:val="20"/>
      <w:szCs w:val="20"/>
    </w:rPr>
  </w:style>
  <w:style w:type="character" w:customStyle="1" w:styleId="RheadingChar">
    <w:name w:val="Rheading Char"/>
    <w:link w:val="Rheading"/>
    <w:locked/>
    <w:rsid w:val="00784641"/>
    <w:rPr>
      <w:rFonts w:ascii="Arial Bold" w:eastAsia="Times New Roman" w:hAnsi="Arial Bold" w:cs="Times New Roman"/>
      <w:b/>
      <w:sz w:val="20"/>
      <w:szCs w:val="20"/>
    </w:rPr>
  </w:style>
  <w:style w:type="paragraph" w:customStyle="1" w:styleId="ColorfulList-Accent11">
    <w:name w:val="Colorful List - Accent 11"/>
    <w:basedOn w:val="Normal"/>
    <w:qFormat/>
    <w:rsid w:val="00784641"/>
    <w:pPr>
      <w:ind w:left="720"/>
      <w:contextualSpacing/>
    </w:pPr>
    <w:rPr>
      <w:rFonts w:ascii="Cambria" w:hAnsi="Cambria"/>
    </w:rPr>
  </w:style>
  <w:style w:type="character" w:styleId="CommentReference">
    <w:name w:val="annotation reference"/>
    <w:semiHidden/>
    <w:rsid w:val="00784641"/>
    <w:rPr>
      <w:rFonts w:cs="Times New Roman"/>
      <w:sz w:val="16"/>
      <w:szCs w:val="16"/>
    </w:rPr>
  </w:style>
  <w:style w:type="paragraph" w:styleId="CommentText">
    <w:name w:val="annotation text"/>
    <w:basedOn w:val="Normal"/>
    <w:link w:val="CommentTextChar"/>
    <w:semiHidden/>
    <w:rsid w:val="00784641"/>
    <w:pPr>
      <w:spacing w:after="0"/>
    </w:pPr>
    <w:rPr>
      <w:sz w:val="20"/>
      <w:szCs w:val="20"/>
    </w:rPr>
  </w:style>
  <w:style w:type="character" w:customStyle="1" w:styleId="CommentTextChar">
    <w:name w:val="Comment Text Char"/>
    <w:basedOn w:val="DefaultParagraphFont"/>
    <w:link w:val="CommentText"/>
    <w:semiHidden/>
    <w:rsid w:val="00784641"/>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84641"/>
    <w:rPr>
      <w:b/>
      <w:bCs/>
    </w:rPr>
  </w:style>
  <w:style w:type="character" w:customStyle="1" w:styleId="CommentSubjectChar">
    <w:name w:val="Comment Subject Char"/>
    <w:basedOn w:val="CommentTextChar"/>
    <w:link w:val="CommentSubject"/>
    <w:semiHidden/>
    <w:rsid w:val="00784641"/>
    <w:rPr>
      <w:rFonts w:ascii="Arial" w:eastAsia="Times New Roman" w:hAnsi="Arial" w:cs="Times New Roman"/>
      <w:b/>
      <w:bCs/>
      <w:sz w:val="20"/>
      <w:szCs w:val="20"/>
    </w:rPr>
  </w:style>
  <w:style w:type="paragraph" w:styleId="NormalWeb">
    <w:name w:val="Normal (Web)"/>
    <w:basedOn w:val="Normal"/>
    <w:rsid w:val="00784641"/>
    <w:pPr>
      <w:spacing w:before="100" w:beforeAutospacing="1" w:after="100" w:afterAutospacing="1"/>
    </w:pPr>
    <w:rPr>
      <w:rFonts w:ascii="Times New Roman" w:hAnsi="Times New Roman"/>
      <w:sz w:val="24"/>
      <w:szCs w:val="24"/>
      <w:lang w:eastAsia="en-GB"/>
    </w:rPr>
  </w:style>
  <w:style w:type="paragraph" w:customStyle="1" w:styleId="indent10">
    <w:name w:val="indent10"/>
    <w:basedOn w:val="Normal"/>
    <w:rsid w:val="00784641"/>
    <w:pPr>
      <w:spacing w:before="100" w:beforeAutospacing="1" w:after="100" w:afterAutospacing="1"/>
    </w:pPr>
    <w:rPr>
      <w:rFonts w:ascii="Times New Roman" w:hAnsi="Times New Roman"/>
      <w:sz w:val="24"/>
      <w:szCs w:val="24"/>
      <w:lang w:eastAsia="en-GB"/>
    </w:rPr>
  </w:style>
  <w:style w:type="paragraph" w:styleId="BodyText">
    <w:name w:val="Body Text"/>
    <w:basedOn w:val="Normal"/>
    <w:link w:val="BodyTextChar"/>
    <w:rsid w:val="00784641"/>
    <w:pPr>
      <w:spacing w:after="0"/>
    </w:pPr>
    <w:rPr>
      <w:sz w:val="22"/>
    </w:rPr>
  </w:style>
  <w:style w:type="character" w:customStyle="1" w:styleId="BodyTextChar">
    <w:name w:val="Body Text Char"/>
    <w:basedOn w:val="DefaultParagraphFont"/>
    <w:link w:val="BodyText"/>
    <w:rsid w:val="00784641"/>
    <w:rPr>
      <w:rFonts w:ascii="Arial" w:eastAsia="Times New Roman" w:hAnsi="Arial" w:cs="Times New Roman"/>
    </w:rPr>
  </w:style>
  <w:style w:type="paragraph" w:styleId="Footer">
    <w:name w:val="footer"/>
    <w:basedOn w:val="Normal"/>
    <w:link w:val="FooterChar"/>
    <w:uiPriority w:val="99"/>
    <w:rsid w:val="00784641"/>
    <w:pPr>
      <w:tabs>
        <w:tab w:val="center" w:pos="4153"/>
        <w:tab w:val="right" w:pos="8306"/>
      </w:tabs>
      <w:spacing w:after="0"/>
    </w:pPr>
    <w:rPr>
      <w:sz w:val="22"/>
    </w:rPr>
  </w:style>
  <w:style w:type="character" w:customStyle="1" w:styleId="FooterChar">
    <w:name w:val="Footer Char"/>
    <w:basedOn w:val="DefaultParagraphFont"/>
    <w:link w:val="Footer"/>
    <w:uiPriority w:val="99"/>
    <w:rsid w:val="00784641"/>
    <w:rPr>
      <w:rFonts w:ascii="Arial" w:eastAsia="Times New Roman" w:hAnsi="Arial" w:cs="Times New Roman"/>
    </w:rPr>
  </w:style>
  <w:style w:type="paragraph" w:customStyle="1" w:styleId="TableFigure">
    <w:name w:val="Table Figure"/>
    <w:basedOn w:val="Normal"/>
    <w:rsid w:val="00784641"/>
    <w:pPr>
      <w:keepLines/>
      <w:spacing w:before="40" w:after="40"/>
    </w:pPr>
    <w:rPr>
      <w:rFonts w:ascii="Times New Roman" w:hAnsi="Times New Roman"/>
      <w:kern w:val="28"/>
      <w:sz w:val="20"/>
      <w:szCs w:val="20"/>
    </w:rPr>
  </w:style>
  <w:style w:type="paragraph" w:customStyle="1" w:styleId="MAJOR">
    <w:name w:val="MAJOR"/>
    <w:rsid w:val="00784641"/>
    <w:pPr>
      <w:widowControl w:val="0"/>
      <w:tabs>
        <w:tab w:val="left" w:pos="-720"/>
      </w:tabs>
      <w:suppressAutoHyphens/>
      <w:spacing w:after="0" w:line="240" w:lineRule="auto"/>
    </w:pPr>
    <w:rPr>
      <w:rFonts w:ascii="Times New Roman" w:eastAsia="Times New Roman" w:hAnsi="Times New Roman" w:cs="Times New Roman"/>
      <w:b/>
      <w:sz w:val="28"/>
      <w:szCs w:val="20"/>
      <w:lang w:val="en-US"/>
    </w:rPr>
  </w:style>
  <w:style w:type="paragraph" w:styleId="FootnoteText">
    <w:name w:val="footnote text"/>
    <w:basedOn w:val="Normal"/>
    <w:link w:val="FootnoteTextChar"/>
    <w:semiHidden/>
    <w:rsid w:val="00784641"/>
    <w:pPr>
      <w:spacing w:after="0" w:line="200" w:lineRule="exact"/>
    </w:pPr>
    <w:rPr>
      <w:sz w:val="20"/>
      <w:szCs w:val="20"/>
    </w:rPr>
  </w:style>
  <w:style w:type="character" w:customStyle="1" w:styleId="FootnoteTextChar">
    <w:name w:val="Footnote Text Char"/>
    <w:basedOn w:val="DefaultParagraphFont"/>
    <w:link w:val="FootnoteText"/>
    <w:semiHidden/>
    <w:rsid w:val="00784641"/>
    <w:rPr>
      <w:rFonts w:ascii="Arial" w:eastAsia="Times New Roman" w:hAnsi="Arial" w:cs="Times New Roman"/>
      <w:sz w:val="20"/>
      <w:szCs w:val="20"/>
    </w:rPr>
  </w:style>
  <w:style w:type="paragraph" w:customStyle="1" w:styleId="MINOR">
    <w:name w:val="MINOR"/>
    <w:rsid w:val="00784641"/>
    <w:pPr>
      <w:widowControl w:val="0"/>
      <w:tabs>
        <w:tab w:val="left" w:pos="-720"/>
      </w:tabs>
      <w:suppressAutoHyphens/>
      <w:spacing w:after="0" w:line="240" w:lineRule="auto"/>
    </w:pPr>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784641"/>
    <w:pPr>
      <w:autoSpaceDE w:val="0"/>
      <w:autoSpaceDN w:val="0"/>
      <w:adjustRightInd w:val="0"/>
      <w:spacing w:after="0"/>
      <w:ind w:left="360"/>
    </w:pPr>
    <w:rPr>
      <w:sz w:val="22"/>
    </w:rPr>
  </w:style>
  <w:style w:type="character" w:customStyle="1" w:styleId="BodyTextIndentChar">
    <w:name w:val="Body Text Indent Char"/>
    <w:basedOn w:val="DefaultParagraphFont"/>
    <w:link w:val="BodyTextIndent"/>
    <w:rsid w:val="00784641"/>
    <w:rPr>
      <w:rFonts w:ascii="Arial" w:eastAsia="Times New Roman" w:hAnsi="Arial" w:cs="Times New Roman"/>
    </w:rPr>
  </w:style>
  <w:style w:type="paragraph" w:styleId="DocumentMap">
    <w:name w:val="Document Map"/>
    <w:basedOn w:val="Normal"/>
    <w:link w:val="DocumentMapChar"/>
    <w:semiHidden/>
    <w:rsid w:val="00784641"/>
    <w:pPr>
      <w:shd w:val="clear" w:color="auto" w:fill="000080"/>
      <w:spacing w:after="0"/>
    </w:pPr>
    <w:rPr>
      <w:rFonts w:ascii="Times New Roman" w:hAnsi="Times New Roman"/>
      <w:sz w:val="2"/>
      <w:szCs w:val="20"/>
    </w:rPr>
  </w:style>
  <w:style w:type="character" w:customStyle="1" w:styleId="DocumentMapChar">
    <w:name w:val="Document Map Char"/>
    <w:basedOn w:val="DefaultParagraphFont"/>
    <w:link w:val="DocumentMap"/>
    <w:semiHidden/>
    <w:rsid w:val="00784641"/>
    <w:rPr>
      <w:rFonts w:ascii="Times New Roman" w:eastAsia="Times New Roman" w:hAnsi="Times New Roman" w:cs="Times New Roman"/>
      <w:sz w:val="2"/>
      <w:szCs w:val="20"/>
      <w:shd w:val="clear" w:color="auto" w:fill="000080"/>
    </w:rPr>
  </w:style>
  <w:style w:type="paragraph" w:customStyle="1" w:styleId="SECTION">
    <w:name w:val="SECTION"/>
    <w:rsid w:val="00784641"/>
    <w:pPr>
      <w:widowControl w:val="0"/>
      <w:tabs>
        <w:tab w:val="left" w:pos="-720"/>
      </w:tabs>
      <w:suppressAutoHyphens/>
      <w:spacing w:after="0" w:line="240" w:lineRule="auto"/>
    </w:pPr>
    <w:rPr>
      <w:rFonts w:ascii="Times New Roman" w:eastAsia="Times New Roman" w:hAnsi="Times New Roman" w:cs="Times New Roman"/>
      <w:b/>
      <w:sz w:val="34"/>
      <w:szCs w:val="20"/>
      <w:lang w:val="en-US"/>
    </w:rPr>
  </w:style>
  <w:style w:type="paragraph" w:customStyle="1" w:styleId="StyleMINORArial9ptNotBold">
    <w:name w:val="Style MINOR + Arial 9 pt Not Bold"/>
    <w:basedOn w:val="MINOR"/>
    <w:rsid w:val="00784641"/>
    <w:pPr>
      <w:jc w:val="both"/>
    </w:pPr>
    <w:rPr>
      <w:rFonts w:ascii="Arial" w:hAnsi="Arial"/>
      <w:b w:val="0"/>
      <w:sz w:val="18"/>
    </w:rPr>
  </w:style>
  <w:style w:type="paragraph" w:customStyle="1" w:styleId="B0">
    <w:name w:val="B0"/>
    <w:basedOn w:val="Normal"/>
    <w:rsid w:val="00784641"/>
    <w:pPr>
      <w:spacing w:after="113" w:line="57" w:lineRule="exact"/>
    </w:pPr>
    <w:rPr>
      <w:rFonts w:ascii="Times New Roman" w:hAnsi="Times New Roman"/>
      <w:sz w:val="20"/>
      <w:szCs w:val="20"/>
    </w:rPr>
  </w:style>
  <w:style w:type="paragraph" w:customStyle="1" w:styleId="D9">
    <w:name w:val="D9"/>
    <w:basedOn w:val="S9"/>
    <w:rsid w:val="00784641"/>
    <w:pPr>
      <w:pBdr>
        <w:bottom w:val="double" w:sz="6" w:space="1" w:color="auto"/>
        <w:between w:val="double" w:sz="6" w:space="1" w:color="auto"/>
      </w:pBdr>
    </w:pPr>
  </w:style>
  <w:style w:type="paragraph" w:styleId="NormalIndent">
    <w:name w:val="Normal Indent"/>
    <w:aliases w:val="Normal Indent Char1,Normal Indent Char Char,Normal Indent Char1 Char Char,Normal Indent Char Char Char Char,Normal Indent Char1 Char Char Char ChNormal indent"/>
    <w:basedOn w:val="Normal"/>
    <w:link w:val="NormalIndentChar"/>
    <w:rsid w:val="00784641"/>
    <w:pPr>
      <w:ind w:left="567"/>
    </w:pPr>
    <w:rPr>
      <w:szCs w:val="20"/>
    </w:rPr>
  </w:style>
  <w:style w:type="character" w:customStyle="1" w:styleId="NormalIndentChar">
    <w:name w:val="Normal Indent Char"/>
    <w:aliases w:val="Normal Indent Char1 Char1,Normal Indent Char Char Char2,Normal Indent Char1 Char Char Char1,Normal Indent Char Char Char Char Char1,Normal Indent Char1 Char Char Char ChNormal indent Char"/>
    <w:link w:val="NormalIndent"/>
    <w:locked/>
    <w:rsid w:val="00784641"/>
    <w:rPr>
      <w:rFonts w:ascii="Arial" w:eastAsia="Times New Roman" w:hAnsi="Arial" w:cs="Times New Roman"/>
      <w:sz w:val="18"/>
      <w:szCs w:val="20"/>
    </w:rPr>
  </w:style>
  <w:style w:type="paragraph" w:customStyle="1" w:styleId="Zspace">
    <w:name w:val="Zspace"/>
    <w:basedOn w:val="B0"/>
    <w:rsid w:val="00784641"/>
    <w:pPr>
      <w:spacing w:line="6" w:lineRule="exact"/>
    </w:pPr>
  </w:style>
  <w:style w:type="paragraph" w:customStyle="1" w:styleId="B1">
    <w:name w:val="B1"/>
    <w:basedOn w:val="MAJOR"/>
    <w:rsid w:val="00784641"/>
    <w:pPr>
      <w:numPr>
        <w:numId w:val="3"/>
      </w:numPr>
      <w:tabs>
        <w:tab w:val="clear" w:pos="-720"/>
      </w:tabs>
      <w:spacing w:after="120"/>
    </w:pPr>
    <w:rPr>
      <w:rFonts w:ascii="Arial" w:hAnsi="Arial" w:cs="Arial"/>
      <w:b w:val="0"/>
      <w:sz w:val="18"/>
      <w:szCs w:val="18"/>
    </w:rPr>
  </w:style>
  <w:style w:type="paragraph" w:customStyle="1" w:styleId="StyleB1">
    <w:name w:val="Style B1 +"/>
    <w:basedOn w:val="B1"/>
    <w:rsid w:val="00784641"/>
    <w:rPr>
      <w:rFonts w:ascii="Times New Roman" w:hAnsi="Times New Roman"/>
      <w:kern w:val="2"/>
      <w:sz w:val="20"/>
    </w:rPr>
  </w:style>
  <w:style w:type="paragraph" w:styleId="ListBullet">
    <w:name w:val="List Bullet"/>
    <w:basedOn w:val="Normal"/>
    <w:rsid w:val="00784641"/>
    <w:pPr>
      <w:numPr>
        <w:numId w:val="2"/>
      </w:numPr>
      <w:ind w:left="360" w:hanging="360"/>
    </w:pPr>
  </w:style>
  <w:style w:type="paragraph" w:customStyle="1" w:styleId="contd">
    <w:name w:val="contd"/>
    <w:basedOn w:val="Normal"/>
    <w:rsid w:val="00784641"/>
    <w:pPr>
      <w:spacing w:after="360"/>
    </w:pPr>
    <w:rPr>
      <w:rFonts w:ascii="Times New Roman" w:hAnsi="Times New Roman"/>
      <w:b/>
      <w:color w:val="002776"/>
      <w:sz w:val="48"/>
    </w:rPr>
  </w:style>
  <w:style w:type="paragraph" w:customStyle="1" w:styleId="NoSpace">
    <w:name w:val="No Space"/>
    <w:basedOn w:val="Normal"/>
    <w:rsid w:val="00784641"/>
    <w:pPr>
      <w:spacing w:after="0"/>
    </w:pPr>
    <w:rPr>
      <w:rFonts w:ascii="Times New Roman" w:hAnsi="Times New Roman"/>
      <w:szCs w:val="20"/>
    </w:rPr>
  </w:style>
  <w:style w:type="paragraph" w:styleId="TOC1">
    <w:name w:val="toc 1"/>
    <w:basedOn w:val="Normal"/>
    <w:next w:val="Normal"/>
    <w:autoRedefine/>
    <w:uiPriority w:val="39"/>
    <w:rsid w:val="00784641"/>
    <w:pPr>
      <w:tabs>
        <w:tab w:val="right" w:leader="dot" w:pos="9458"/>
      </w:tabs>
      <w:spacing w:after="240"/>
    </w:pPr>
    <w:rPr>
      <w:sz w:val="20"/>
    </w:rPr>
  </w:style>
  <w:style w:type="paragraph" w:styleId="Header">
    <w:name w:val="header"/>
    <w:basedOn w:val="Normal"/>
    <w:link w:val="HeaderChar"/>
    <w:uiPriority w:val="99"/>
    <w:rsid w:val="00784641"/>
    <w:pPr>
      <w:tabs>
        <w:tab w:val="center" w:pos="4153"/>
        <w:tab w:val="right" w:pos="8306"/>
      </w:tabs>
    </w:pPr>
    <w:rPr>
      <w:sz w:val="22"/>
    </w:rPr>
  </w:style>
  <w:style w:type="character" w:customStyle="1" w:styleId="HeaderChar">
    <w:name w:val="Header Char"/>
    <w:basedOn w:val="DefaultParagraphFont"/>
    <w:link w:val="Header"/>
    <w:uiPriority w:val="99"/>
    <w:rsid w:val="00784641"/>
    <w:rPr>
      <w:rFonts w:ascii="Arial" w:eastAsia="Times New Roman" w:hAnsi="Arial" w:cs="Times New Roman"/>
    </w:rPr>
  </w:style>
  <w:style w:type="character" w:styleId="PageNumber">
    <w:name w:val="page number"/>
    <w:rsid w:val="00784641"/>
    <w:rPr>
      <w:rFonts w:cs="Times New Roman"/>
    </w:rPr>
  </w:style>
  <w:style w:type="numbering" w:customStyle="1" w:styleId="StyleBulleted6ptCustomColorRGB92993">
    <w:name w:val="Style Bulleted 6 pt Custom Color(RGB(92993))"/>
    <w:rsid w:val="00784641"/>
    <w:pPr>
      <w:numPr>
        <w:numId w:val="1"/>
      </w:numPr>
    </w:pPr>
  </w:style>
  <w:style w:type="character" w:customStyle="1" w:styleId="apple-style-span">
    <w:name w:val="apple-style-span"/>
    <w:rsid w:val="00784641"/>
    <w:rPr>
      <w:rFonts w:cs="Times New Roman"/>
    </w:rPr>
  </w:style>
  <w:style w:type="character" w:customStyle="1" w:styleId="NormalIndentChar1Char">
    <w:name w:val="Normal Indent Char1 Char"/>
    <w:aliases w:val="Normal Indent Char Char Char,Normal Indent Char1 Char Char Char,Normal Indent Char Char Char Char Char,Normal Indent Char1 Char Char Char Char Char,Normal Indent Char Char Char Char Char Char Char,Normal Indent Char Char Char1"/>
    <w:rsid w:val="00784641"/>
    <w:rPr>
      <w:rFonts w:ascii="Times New Roman" w:hAnsi="Times New Roman"/>
      <w:lang w:val="en-GB" w:eastAsia="en-US" w:bidi="ar-SA"/>
    </w:rPr>
  </w:style>
  <w:style w:type="table" w:styleId="TableGrid">
    <w:name w:val="Table Grid"/>
    <w:basedOn w:val="TableNormal"/>
    <w:rsid w:val="00784641"/>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
    <w:qFormat/>
    <w:rsid w:val="00784641"/>
    <w:rPr>
      <w:b/>
    </w:rPr>
  </w:style>
  <w:style w:type="paragraph" w:customStyle="1" w:styleId="s7">
    <w:name w:val="s7"/>
    <w:basedOn w:val="S9"/>
    <w:qFormat/>
    <w:rsid w:val="00784641"/>
    <w:pPr>
      <w:ind w:left="567"/>
    </w:pPr>
    <w:rPr>
      <w:b/>
    </w:rPr>
  </w:style>
  <w:style w:type="paragraph" w:customStyle="1" w:styleId="d7">
    <w:name w:val="d7"/>
    <w:basedOn w:val="D9"/>
    <w:qFormat/>
    <w:rsid w:val="00784641"/>
    <w:pPr>
      <w:ind w:left="567"/>
    </w:pPr>
    <w:rPr>
      <w:b/>
    </w:rPr>
  </w:style>
  <w:style w:type="paragraph" w:customStyle="1" w:styleId="tnote">
    <w:name w:val="tnote"/>
    <w:basedOn w:val="Tdec"/>
    <w:qFormat/>
    <w:rsid w:val="00784641"/>
    <w:pPr>
      <w:tabs>
        <w:tab w:val="clear" w:pos="993"/>
      </w:tabs>
    </w:pPr>
    <w:rPr>
      <w:szCs w:val="18"/>
    </w:rPr>
  </w:style>
  <w:style w:type="paragraph" w:customStyle="1" w:styleId="c1">
    <w:name w:val="c1"/>
    <w:basedOn w:val="Normal"/>
    <w:rsid w:val="00784641"/>
    <w:pPr>
      <w:spacing w:before="100" w:beforeAutospacing="1" w:after="100" w:afterAutospacing="1"/>
    </w:pPr>
    <w:rPr>
      <w:rFonts w:ascii="Times New Roman" w:eastAsia="Calibri" w:hAnsi="Times New Roman"/>
      <w:sz w:val="24"/>
      <w:szCs w:val="24"/>
      <w:lang w:val="en-US"/>
    </w:rPr>
  </w:style>
  <w:style w:type="paragraph" w:customStyle="1" w:styleId="NoSpacing1">
    <w:name w:val="No Spacing1"/>
    <w:link w:val="NoSpacingChar"/>
    <w:uiPriority w:val="1"/>
    <w:qFormat/>
    <w:rsid w:val="00784641"/>
    <w:pPr>
      <w:spacing w:after="0" w:line="240" w:lineRule="auto"/>
    </w:pPr>
    <w:rPr>
      <w:rFonts w:ascii="Calibri" w:eastAsia="Times New Roman" w:hAnsi="Calibri" w:cs="Times New Roman"/>
      <w:lang w:val="en-US"/>
    </w:rPr>
  </w:style>
  <w:style w:type="character" w:customStyle="1" w:styleId="NoSpacingChar">
    <w:name w:val="No Spacing Char"/>
    <w:link w:val="NoSpacing1"/>
    <w:uiPriority w:val="1"/>
    <w:rsid w:val="00784641"/>
    <w:rPr>
      <w:rFonts w:ascii="Calibri" w:eastAsia="Times New Roman" w:hAnsi="Calibri" w:cs="Times New Roman"/>
      <w:lang w:val="en-US"/>
    </w:rPr>
  </w:style>
  <w:style w:type="paragraph" w:customStyle="1" w:styleId="ColorfulShading-Accent11">
    <w:name w:val="Colorful Shading - Accent 11"/>
    <w:hidden/>
    <w:uiPriority w:val="99"/>
    <w:semiHidden/>
    <w:rsid w:val="00784641"/>
    <w:pPr>
      <w:spacing w:after="0" w:line="240" w:lineRule="auto"/>
    </w:pPr>
    <w:rPr>
      <w:rFonts w:ascii="Arial" w:eastAsia="Times New Roman" w:hAnsi="Arial" w:cs="Times New Roman"/>
      <w:sz w:val="18"/>
    </w:rPr>
  </w:style>
  <w:style w:type="paragraph" w:styleId="Revision">
    <w:name w:val="Revision"/>
    <w:hidden/>
    <w:uiPriority w:val="99"/>
    <w:semiHidden/>
    <w:rsid w:val="00784641"/>
    <w:pPr>
      <w:spacing w:after="0" w:line="240" w:lineRule="auto"/>
    </w:pPr>
    <w:rPr>
      <w:rFonts w:ascii="Arial" w:eastAsia="Times New Roman" w:hAnsi="Arial" w:cs="Times New Roman"/>
      <w:noProof/>
      <w:sz w:val="18"/>
    </w:rPr>
  </w:style>
  <w:style w:type="paragraph" w:styleId="ListParagraph">
    <w:name w:val="List Paragraph"/>
    <w:basedOn w:val="Normal"/>
    <w:uiPriority w:val="34"/>
    <w:qFormat/>
    <w:rsid w:val="00784641"/>
    <w:pPr>
      <w:ind w:left="720"/>
      <w:contextualSpacing/>
    </w:pPr>
  </w:style>
  <w:style w:type="paragraph" w:customStyle="1" w:styleId="bw">
    <w:name w:val="bw"/>
    <w:basedOn w:val="Normal"/>
    <w:rsid w:val="00784641"/>
    <w:pPr>
      <w:spacing w:before="100" w:beforeAutospacing="1" w:after="100" w:afterAutospacing="1"/>
    </w:pPr>
    <w:rPr>
      <w:rFonts w:ascii="Times New Roman" w:hAnsi="Times New Roman"/>
      <w:sz w:val="24"/>
      <w:szCs w:val="24"/>
      <w:lang w:eastAsia="en-GB"/>
    </w:rPr>
  </w:style>
  <w:style w:type="character" w:customStyle="1" w:styleId="bf">
    <w:name w:val="bf"/>
    <w:basedOn w:val="DefaultParagraphFont"/>
    <w:rsid w:val="00784641"/>
  </w:style>
  <w:style w:type="paragraph" w:customStyle="1" w:styleId="a">
    <w:name w:val="a"/>
    <w:basedOn w:val="Normal"/>
    <w:rsid w:val="00784641"/>
    <w:pPr>
      <w:spacing w:before="100" w:beforeAutospacing="1" w:after="100" w:afterAutospacing="1"/>
    </w:pPr>
    <w:rPr>
      <w:rFonts w:ascii="Times New Roman" w:hAnsi="Times New Roman"/>
      <w:sz w:val="24"/>
      <w:szCs w:val="24"/>
      <w:lang w:eastAsia="en-GB"/>
    </w:rPr>
  </w:style>
  <w:style w:type="paragraph" w:customStyle="1" w:styleId="qk">
    <w:name w:val="qk"/>
    <w:basedOn w:val="Normal"/>
    <w:rsid w:val="001D7909"/>
    <w:pPr>
      <w:spacing w:before="100" w:beforeAutospacing="1" w:after="100" w:afterAutospacing="1"/>
    </w:pPr>
    <w:rPr>
      <w:rFonts w:ascii="Times New Roman" w:hAnsi="Times New Roman"/>
      <w:sz w:val="24"/>
      <w:szCs w:val="24"/>
      <w:lang w:eastAsia="en-GB"/>
    </w:rPr>
  </w:style>
  <w:style w:type="character" w:customStyle="1" w:styleId="nw">
    <w:name w:val="nw"/>
    <w:basedOn w:val="DefaultParagraphFont"/>
    <w:rsid w:val="001D7909"/>
  </w:style>
  <w:style w:type="paragraph" w:customStyle="1" w:styleId="qg">
    <w:name w:val="qg"/>
    <w:basedOn w:val="Normal"/>
    <w:rsid w:val="001D7909"/>
    <w:pPr>
      <w:spacing w:before="100" w:beforeAutospacing="1" w:after="100" w:afterAutospacing="1"/>
    </w:pPr>
    <w:rPr>
      <w:rFonts w:ascii="Times New Roman" w:hAnsi="Times New Roman"/>
      <w:sz w:val="24"/>
      <w:szCs w:val="24"/>
      <w:lang w:eastAsia="en-GB"/>
    </w:rPr>
  </w:style>
  <w:style w:type="character" w:customStyle="1" w:styleId="oa">
    <w:name w:val="oa"/>
    <w:basedOn w:val="DefaultParagraphFont"/>
    <w:rsid w:val="001D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493">
      <w:bodyDiv w:val="1"/>
      <w:marLeft w:val="0"/>
      <w:marRight w:val="0"/>
      <w:marTop w:val="0"/>
      <w:marBottom w:val="0"/>
      <w:divBdr>
        <w:top w:val="none" w:sz="0" w:space="0" w:color="auto"/>
        <w:left w:val="none" w:sz="0" w:space="0" w:color="auto"/>
        <w:bottom w:val="none" w:sz="0" w:space="0" w:color="auto"/>
        <w:right w:val="none" w:sz="0" w:space="0" w:color="auto"/>
      </w:divBdr>
    </w:div>
    <w:div w:id="114636713">
      <w:bodyDiv w:val="1"/>
      <w:marLeft w:val="0"/>
      <w:marRight w:val="0"/>
      <w:marTop w:val="0"/>
      <w:marBottom w:val="0"/>
      <w:divBdr>
        <w:top w:val="none" w:sz="0" w:space="0" w:color="auto"/>
        <w:left w:val="none" w:sz="0" w:space="0" w:color="auto"/>
        <w:bottom w:val="none" w:sz="0" w:space="0" w:color="auto"/>
        <w:right w:val="none" w:sz="0" w:space="0" w:color="auto"/>
      </w:divBdr>
    </w:div>
    <w:div w:id="118493591">
      <w:bodyDiv w:val="1"/>
      <w:marLeft w:val="0"/>
      <w:marRight w:val="0"/>
      <w:marTop w:val="0"/>
      <w:marBottom w:val="0"/>
      <w:divBdr>
        <w:top w:val="none" w:sz="0" w:space="0" w:color="auto"/>
        <w:left w:val="none" w:sz="0" w:space="0" w:color="auto"/>
        <w:bottom w:val="none" w:sz="0" w:space="0" w:color="auto"/>
        <w:right w:val="none" w:sz="0" w:space="0" w:color="auto"/>
      </w:divBdr>
    </w:div>
    <w:div w:id="213931106">
      <w:bodyDiv w:val="1"/>
      <w:marLeft w:val="0"/>
      <w:marRight w:val="0"/>
      <w:marTop w:val="0"/>
      <w:marBottom w:val="0"/>
      <w:divBdr>
        <w:top w:val="none" w:sz="0" w:space="0" w:color="auto"/>
        <w:left w:val="none" w:sz="0" w:space="0" w:color="auto"/>
        <w:bottom w:val="none" w:sz="0" w:space="0" w:color="auto"/>
        <w:right w:val="none" w:sz="0" w:space="0" w:color="auto"/>
      </w:divBdr>
    </w:div>
    <w:div w:id="217401187">
      <w:bodyDiv w:val="1"/>
      <w:marLeft w:val="0"/>
      <w:marRight w:val="0"/>
      <w:marTop w:val="0"/>
      <w:marBottom w:val="0"/>
      <w:divBdr>
        <w:top w:val="none" w:sz="0" w:space="0" w:color="auto"/>
        <w:left w:val="none" w:sz="0" w:space="0" w:color="auto"/>
        <w:bottom w:val="none" w:sz="0" w:space="0" w:color="auto"/>
        <w:right w:val="none" w:sz="0" w:space="0" w:color="auto"/>
      </w:divBdr>
    </w:div>
    <w:div w:id="297416648">
      <w:bodyDiv w:val="1"/>
      <w:marLeft w:val="0"/>
      <w:marRight w:val="0"/>
      <w:marTop w:val="0"/>
      <w:marBottom w:val="0"/>
      <w:divBdr>
        <w:top w:val="none" w:sz="0" w:space="0" w:color="auto"/>
        <w:left w:val="none" w:sz="0" w:space="0" w:color="auto"/>
        <w:bottom w:val="none" w:sz="0" w:space="0" w:color="auto"/>
        <w:right w:val="none" w:sz="0" w:space="0" w:color="auto"/>
      </w:divBdr>
    </w:div>
    <w:div w:id="306056658">
      <w:bodyDiv w:val="1"/>
      <w:marLeft w:val="0"/>
      <w:marRight w:val="0"/>
      <w:marTop w:val="0"/>
      <w:marBottom w:val="0"/>
      <w:divBdr>
        <w:top w:val="none" w:sz="0" w:space="0" w:color="auto"/>
        <w:left w:val="none" w:sz="0" w:space="0" w:color="auto"/>
        <w:bottom w:val="none" w:sz="0" w:space="0" w:color="auto"/>
        <w:right w:val="none" w:sz="0" w:space="0" w:color="auto"/>
      </w:divBdr>
    </w:div>
    <w:div w:id="353193914">
      <w:bodyDiv w:val="1"/>
      <w:marLeft w:val="0"/>
      <w:marRight w:val="0"/>
      <w:marTop w:val="0"/>
      <w:marBottom w:val="0"/>
      <w:divBdr>
        <w:top w:val="none" w:sz="0" w:space="0" w:color="auto"/>
        <w:left w:val="none" w:sz="0" w:space="0" w:color="auto"/>
        <w:bottom w:val="none" w:sz="0" w:space="0" w:color="auto"/>
        <w:right w:val="none" w:sz="0" w:space="0" w:color="auto"/>
      </w:divBdr>
    </w:div>
    <w:div w:id="370612869">
      <w:bodyDiv w:val="1"/>
      <w:marLeft w:val="0"/>
      <w:marRight w:val="0"/>
      <w:marTop w:val="0"/>
      <w:marBottom w:val="0"/>
      <w:divBdr>
        <w:top w:val="none" w:sz="0" w:space="0" w:color="auto"/>
        <w:left w:val="none" w:sz="0" w:space="0" w:color="auto"/>
        <w:bottom w:val="none" w:sz="0" w:space="0" w:color="auto"/>
        <w:right w:val="none" w:sz="0" w:space="0" w:color="auto"/>
      </w:divBdr>
    </w:div>
    <w:div w:id="387194826">
      <w:bodyDiv w:val="1"/>
      <w:marLeft w:val="0"/>
      <w:marRight w:val="0"/>
      <w:marTop w:val="0"/>
      <w:marBottom w:val="0"/>
      <w:divBdr>
        <w:top w:val="none" w:sz="0" w:space="0" w:color="auto"/>
        <w:left w:val="none" w:sz="0" w:space="0" w:color="auto"/>
        <w:bottom w:val="none" w:sz="0" w:space="0" w:color="auto"/>
        <w:right w:val="none" w:sz="0" w:space="0" w:color="auto"/>
      </w:divBdr>
    </w:div>
    <w:div w:id="498082119">
      <w:bodyDiv w:val="1"/>
      <w:marLeft w:val="0"/>
      <w:marRight w:val="0"/>
      <w:marTop w:val="0"/>
      <w:marBottom w:val="0"/>
      <w:divBdr>
        <w:top w:val="none" w:sz="0" w:space="0" w:color="auto"/>
        <w:left w:val="none" w:sz="0" w:space="0" w:color="auto"/>
        <w:bottom w:val="none" w:sz="0" w:space="0" w:color="auto"/>
        <w:right w:val="none" w:sz="0" w:space="0" w:color="auto"/>
      </w:divBdr>
    </w:div>
    <w:div w:id="554659085">
      <w:bodyDiv w:val="1"/>
      <w:marLeft w:val="0"/>
      <w:marRight w:val="0"/>
      <w:marTop w:val="0"/>
      <w:marBottom w:val="0"/>
      <w:divBdr>
        <w:top w:val="none" w:sz="0" w:space="0" w:color="auto"/>
        <w:left w:val="none" w:sz="0" w:space="0" w:color="auto"/>
        <w:bottom w:val="none" w:sz="0" w:space="0" w:color="auto"/>
        <w:right w:val="none" w:sz="0" w:space="0" w:color="auto"/>
      </w:divBdr>
    </w:div>
    <w:div w:id="611865116">
      <w:bodyDiv w:val="1"/>
      <w:marLeft w:val="0"/>
      <w:marRight w:val="0"/>
      <w:marTop w:val="0"/>
      <w:marBottom w:val="0"/>
      <w:divBdr>
        <w:top w:val="none" w:sz="0" w:space="0" w:color="auto"/>
        <w:left w:val="none" w:sz="0" w:space="0" w:color="auto"/>
        <w:bottom w:val="none" w:sz="0" w:space="0" w:color="auto"/>
        <w:right w:val="none" w:sz="0" w:space="0" w:color="auto"/>
      </w:divBdr>
    </w:div>
    <w:div w:id="626468129">
      <w:bodyDiv w:val="1"/>
      <w:marLeft w:val="0"/>
      <w:marRight w:val="0"/>
      <w:marTop w:val="0"/>
      <w:marBottom w:val="0"/>
      <w:divBdr>
        <w:top w:val="none" w:sz="0" w:space="0" w:color="auto"/>
        <w:left w:val="none" w:sz="0" w:space="0" w:color="auto"/>
        <w:bottom w:val="none" w:sz="0" w:space="0" w:color="auto"/>
        <w:right w:val="none" w:sz="0" w:space="0" w:color="auto"/>
      </w:divBdr>
    </w:div>
    <w:div w:id="640572491">
      <w:bodyDiv w:val="1"/>
      <w:marLeft w:val="0"/>
      <w:marRight w:val="0"/>
      <w:marTop w:val="0"/>
      <w:marBottom w:val="0"/>
      <w:divBdr>
        <w:top w:val="none" w:sz="0" w:space="0" w:color="auto"/>
        <w:left w:val="none" w:sz="0" w:space="0" w:color="auto"/>
        <w:bottom w:val="none" w:sz="0" w:space="0" w:color="auto"/>
        <w:right w:val="none" w:sz="0" w:space="0" w:color="auto"/>
      </w:divBdr>
    </w:div>
    <w:div w:id="653528710">
      <w:bodyDiv w:val="1"/>
      <w:marLeft w:val="0"/>
      <w:marRight w:val="0"/>
      <w:marTop w:val="0"/>
      <w:marBottom w:val="0"/>
      <w:divBdr>
        <w:top w:val="none" w:sz="0" w:space="0" w:color="auto"/>
        <w:left w:val="none" w:sz="0" w:space="0" w:color="auto"/>
        <w:bottom w:val="none" w:sz="0" w:space="0" w:color="auto"/>
        <w:right w:val="none" w:sz="0" w:space="0" w:color="auto"/>
      </w:divBdr>
    </w:div>
    <w:div w:id="696855660">
      <w:bodyDiv w:val="1"/>
      <w:marLeft w:val="0"/>
      <w:marRight w:val="0"/>
      <w:marTop w:val="0"/>
      <w:marBottom w:val="0"/>
      <w:divBdr>
        <w:top w:val="none" w:sz="0" w:space="0" w:color="auto"/>
        <w:left w:val="none" w:sz="0" w:space="0" w:color="auto"/>
        <w:bottom w:val="none" w:sz="0" w:space="0" w:color="auto"/>
        <w:right w:val="none" w:sz="0" w:space="0" w:color="auto"/>
      </w:divBdr>
    </w:div>
    <w:div w:id="712582121">
      <w:bodyDiv w:val="1"/>
      <w:marLeft w:val="0"/>
      <w:marRight w:val="0"/>
      <w:marTop w:val="0"/>
      <w:marBottom w:val="0"/>
      <w:divBdr>
        <w:top w:val="none" w:sz="0" w:space="0" w:color="auto"/>
        <w:left w:val="none" w:sz="0" w:space="0" w:color="auto"/>
        <w:bottom w:val="none" w:sz="0" w:space="0" w:color="auto"/>
        <w:right w:val="none" w:sz="0" w:space="0" w:color="auto"/>
      </w:divBdr>
    </w:div>
    <w:div w:id="724792209">
      <w:bodyDiv w:val="1"/>
      <w:marLeft w:val="0"/>
      <w:marRight w:val="0"/>
      <w:marTop w:val="0"/>
      <w:marBottom w:val="0"/>
      <w:divBdr>
        <w:top w:val="none" w:sz="0" w:space="0" w:color="auto"/>
        <w:left w:val="none" w:sz="0" w:space="0" w:color="auto"/>
        <w:bottom w:val="none" w:sz="0" w:space="0" w:color="auto"/>
        <w:right w:val="none" w:sz="0" w:space="0" w:color="auto"/>
      </w:divBdr>
    </w:div>
    <w:div w:id="732774004">
      <w:bodyDiv w:val="1"/>
      <w:marLeft w:val="0"/>
      <w:marRight w:val="0"/>
      <w:marTop w:val="0"/>
      <w:marBottom w:val="0"/>
      <w:divBdr>
        <w:top w:val="none" w:sz="0" w:space="0" w:color="auto"/>
        <w:left w:val="none" w:sz="0" w:space="0" w:color="auto"/>
        <w:bottom w:val="none" w:sz="0" w:space="0" w:color="auto"/>
        <w:right w:val="none" w:sz="0" w:space="0" w:color="auto"/>
      </w:divBdr>
    </w:div>
    <w:div w:id="790561789">
      <w:bodyDiv w:val="1"/>
      <w:marLeft w:val="0"/>
      <w:marRight w:val="0"/>
      <w:marTop w:val="0"/>
      <w:marBottom w:val="0"/>
      <w:divBdr>
        <w:top w:val="none" w:sz="0" w:space="0" w:color="auto"/>
        <w:left w:val="none" w:sz="0" w:space="0" w:color="auto"/>
        <w:bottom w:val="none" w:sz="0" w:space="0" w:color="auto"/>
        <w:right w:val="none" w:sz="0" w:space="0" w:color="auto"/>
      </w:divBdr>
    </w:div>
    <w:div w:id="80898134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23608901">
      <w:bodyDiv w:val="1"/>
      <w:marLeft w:val="0"/>
      <w:marRight w:val="0"/>
      <w:marTop w:val="0"/>
      <w:marBottom w:val="0"/>
      <w:divBdr>
        <w:top w:val="none" w:sz="0" w:space="0" w:color="auto"/>
        <w:left w:val="none" w:sz="0" w:space="0" w:color="auto"/>
        <w:bottom w:val="none" w:sz="0" w:space="0" w:color="auto"/>
        <w:right w:val="none" w:sz="0" w:space="0" w:color="auto"/>
      </w:divBdr>
    </w:div>
    <w:div w:id="1015889853">
      <w:bodyDiv w:val="1"/>
      <w:marLeft w:val="0"/>
      <w:marRight w:val="0"/>
      <w:marTop w:val="0"/>
      <w:marBottom w:val="0"/>
      <w:divBdr>
        <w:top w:val="none" w:sz="0" w:space="0" w:color="auto"/>
        <w:left w:val="none" w:sz="0" w:space="0" w:color="auto"/>
        <w:bottom w:val="none" w:sz="0" w:space="0" w:color="auto"/>
        <w:right w:val="none" w:sz="0" w:space="0" w:color="auto"/>
      </w:divBdr>
    </w:div>
    <w:div w:id="1141263851">
      <w:bodyDiv w:val="1"/>
      <w:marLeft w:val="0"/>
      <w:marRight w:val="0"/>
      <w:marTop w:val="0"/>
      <w:marBottom w:val="0"/>
      <w:divBdr>
        <w:top w:val="none" w:sz="0" w:space="0" w:color="auto"/>
        <w:left w:val="none" w:sz="0" w:space="0" w:color="auto"/>
        <w:bottom w:val="none" w:sz="0" w:space="0" w:color="auto"/>
        <w:right w:val="none" w:sz="0" w:space="0" w:color="auto"/>
      </w:divBdr>
    </w:div>
    <w:div w:id="1308903142">
      <w:bodyDiv w:val="1"/>
      <w:marLeft w:val="0"/>
      <w:marRight w:val="0"/>
      <w:marTop w:val="0"/>
      <w:marBottom w:val="0"/>
      <w:divBdr>
        <w:top w:val="none" w:sz="0" w:space="0" w:color="auto"/>
        <w:left w:val="none" w:sz="0" w:space="0" w:color="auto"/>
        <w:bottom w:val="none" w:sz="0" w:space="0" w:color="auto"/>
        <w:right w:val="none" w:sz="0" w:space="0" w:color="auto"/>
      </w:divBdr>
    </w:div>
    <w:div w:id="1310866581">
      <w:bodyDiv w:val="1"/>
      <w:marLeft w:val="0"/>
      <w:marRight w:val="0"/>
      <w:marTop w:val="0"/>
      <w:marBottom w:val="0"/>
      <w:divBdr>
        <w:top w:val="none" w:sz="0" w:space="0" w:color="auto"/>
        <w:left w:val="none" w:sz="0" w:space="0" w:color="auto"/>
        <w:bottom w:val="none" w:sz="0" w:space="0" w:color="auto"/>
        <w:right w:val="none" w:sz="0" w:space="0" w:color="auto"/>
      </w:divBdr>
    </w:div>
    <w:div w:id="1336572360">
      <w:bodyDiv w:val="1"/>
      <w:marLeft w:val="0"/>
      <w:marRight w:val="0"/>
      <w:marTop w:val="0"/>
      <w:marBottom w:val="0"/>
      <w:divBdr>
        <w:top w:val="none" w:sz="0" w:space="0" w:color="auto"/>
        <w:left w:val="none" w:sz="0" w:space="0" w:color="auto"/>
        <w:bottom w:val="none" w:sz="0" w:space="0" w:color="auto"/>
        <w:right w:val="none" w:sz="0" w:space="0" w:color="auto"/>
      </w:divBdr>
    </w:div>
    <w:div w:id="1363365358">
      <w:bodyDiv w:val="1"/>
      <w:marLeft w:val="0"/>
      <w:marRight w:val="0"/>
      <w:marTop w:val="0"/>
      <w:marBottom w:val="0"/>
      <w:divBdr>
        <w:top w:val="none" w:sz="0" w:space="0" w:color="auto"/>
        <w:left w:val="none" w:sz="0" w:space="0" w:color="auto"/>
        <w:bottom w:val="none" w:sz="0" w:space="0" w:color="auto"/>
        <w:right w:val="none" w:sz="0" w:space="0" w:color="auto"/>
      </w:divBdr>
    </w:div>
    <w:div w:id="1420131585">
      <w:bodyDiv w:val="1"/>
      <w:marLeft w:val="0"/>
      <w:marRight w:val="0"/>
      <w:marTop w:val="0"/>
      <w:marBottom w:val="0"/>
      <w:divBdr>
        <w:top w:val="none" w:sz="0" w:space="0" w:color="auto"/>
        <w:left w:val="none" w:sz="0" w:space="0" w:color="auto"/>
        <w:bottom w:val="none" w:sz="0" w:space="0" w:color="auto"/>
        <w:right w:val="none" w:sz="0" w:space="0" w:color="auto"/>
      </w:divBdr>
    </w:div>
    <w:div w:id="1465585251">
      <w:bodyDiv w:val="1"/>
      <w:marLeft w:val="0"/>
      <w:marRight w:val="0"/>
      <w:marTop w:val="0"/>
      <w:marBottom w:val="0"/>
      <w:divBdr>
        <w:top w:val="none" w:sz="0" w:space="0" w:color="auto"/>
        <w:left w:val="none" w:sz="0" w:space="0" w:color="auto"/>
        <w:bottom w:val="none" w:sz="0" w:space="0" w:color="auto"/>
        <w:right w:val="none" w:sz="0" w:space="0" w:color="auto"/>
      </w:divBdr>
    </w:div>
    <w:div w:id="1477456071">
      <w:bodyDiv w:val="1"/>
      <w:marLeft w:val="0"/>
      <w:marRight w:val="0"/>
      <w:marTop w:val="0"/>
      <w:marBottom w:val="0"/>
      <w:divBdr>
        <w:top w:val="none" w:sz="0" w:space="0" w:color="auto"/>
        <w:left w:val="none" w:sz="0" w:space="0" w:color="auto"/>
        <w:bottom w:val="none" w:sz="0" w:space="0" w:color="auto"/>
        <w:right w:val="none" w:sz="0" w:space="0" w:color="auto"/>
      </w:divBdr>
    </w:div>
    <w:div w:id="1549609246">
      <w:bodyDiv w:val="1"/>
      <w:marLeft w:val="0"/>
      <w:marRight w:val="0"/>
      <w:marTop w:val="0"/>
      <w:marBottom w:val="0"/>
      <w:divBdr>
        <w:top w:val="none" w:sz="0" w:space="0" w:color="auto"/>
        <w:left w:val="none" w:sz="0" w:space="0" w:color="auto"/>
        <w:bottom w:val="none" w:sz="0" w:space="0" w:color="auto"/>
        <w:right w:val="none" w:sz="0" w:space="0" w:color="auto"/>
      </w:divBdr>
    </w:div>
    <w:div w:id="1733887130">
      <w:bodyDiv w:val="1"/>
      <w:marLeft w:val="0"/>
      <w:marRight w:val="0"/>
      <w:marTop w:val="0"/>
      <w:marBottom w:val="0"/>
      <w:divBdr>
        <w:top w:val="none" w:sz="0" w:space="0" w:color="auto"/>
        <w:left w:val="none" w:sz="0" w:space="0" w:color="auto"/>
        <w:bottom w:val="none" w:sz="0" w:space="0" w:color="auto"/>
        <w:right w:val="none" w:sz="0" w:space="0" w:color="auto"/>
      </w:divBdr>
    </w:div>
    <w:div w:id="1832142332">
      <w:bodyDiv w:val="1"/>
      <w:marLeft w:val="0"/>
      <w:marRight w:val="0"/>
      <w:marTop w:val="0"/>
      <w:marBottom w:val="0"/>
      <w:divBdr>
        <w:top w:val="none" w:sz="0" w:space="0" w:color="auto"/>
        <w:left w:val="none" w:sz="0" w:space="0" w:color="auto"/>
        <w:bottom w:val="none" w:sz="0" w:space="0" w:color="auto"/>
        <w:right w:val="none" w:sz="0" w:space="0" w:color="auto"/>
      </w:divBdr>
    </w:div>
    <w:div w:id="2002344587">
      <w:bodyDiv w:val="1"/>
      <w:marLeft w:val="0"/>
      <w:marRight w:val="0"/>
      <w:marTop w:val="0"/>
      <w:marBottom w:val="0"/>
      <w:divBdr>
        <w:top w:val="none" w:sz="0" w:space="0" w:color="auto"/>
        <w:left w:val="none" w:sz="0" w:space="0" w:color="auto"/>
        <w:bottom w:val="none" w:sz="0" w:space="0" w:color="auto"/>
        <w:right w:val="none" w:sz="0" w:space="0" w:color="auto"/>
      </w:divBdr>
    </w:div>
    <w:div w:id="20609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499C-6A5B-4CB9-87CF-C7603B1E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34479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Christopher Dent</dc:creator>
  <cp:lastModifiedBy>Jenkins, Tom (LDN-WSW)</cp:lastModifiedBy>
  <cp:revision>7</cp:revision>
  <cp:lastPrinted>2016-09-17T19:05:00Z</cp:lastPrinted>
  <dcterms:created xsi:type="dcterms:W3CDTF">2016-09-18T21:42:00Z</dcterms:created>
  <dcterms:modified xsi:type="dcterms:W3CDTF">2016-09-18T22:15:00Z</dcterms:modified>
</cp:coreProperties>
</file>